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Acceptable Use Policy</w:t>
      </w:r>
    </w:p>
    <w:p>
      <w:r>
        <w:rPr>
          <w:b/>
        </w:rPr>
        <w:t>Document Control</w:t>
      </w:r>
    </w:p>
    <w:tbl>
      <w:tblPr>
        <w:tblStyle w:val="TableGrid"/>
        <w:tblW w:type="auto" w:w="0"/>
        <w:tblLook w:firstColumn="1" w:firstRow="1" w:lastColumn="0" w:lastRow="0" w:noHBand="0" w:noVBand="1" w:val="04A0"/>
      </w:tblPr>
      <w:tblGrid>
        <w:gridCol w:w="5400"/>
        <w:gridCol w:w="5400"/>
      </w:tblGrid>
      <w:tr>
        <w:tc>
          <w:tcPr>
            <w:tcW w:type="dxa" w:w="5400"/>
          </w:tcPr>
          <w:p>
            <w:r>
              <w:rPr>
                <w:b/>
              </w:rPr>
              <w:t xml:space="preserve">Document title</w:t>
            </w:r>
          </w:p>
        </w:tc>
        <w:tc>
          <w:tcPr>
            <w:tcW w:type="dxa" w:w="5400"/>
          </w:tcPr>
          <w:p>
            <w:r>
              <w:t xml:space="preserve">Acceptable Use Policy</w:t>
            </w:r>
          </w:p>
        </w:tc>
      </w:tr>
      <w:tr>
        <w:tc>
          <w:tcPr>
            <w:tcW w:type="dxa" w:w="5400"/>
          </w:tcPr>
          <w:p>
            <w:r>
              <w:rPr>
                <w:b/>
              </w:rPr>
              <w:t xml:space="preserve">Version</w:t>
            </w:r>
          </w:p>
        </w:tc>
        <w:tc>
          <w:tcPr>
            <w:tcW w:type="dxa" w:w="5400"/>
          </w:tcPr>
          <w:p>
            <w:r>
              <w:t xml:space="preserve">1.0</w:t>
            </w:r>
          </w:p>
        </w:tc>
      </w:tr>
      <w:tr>
        <w:tc>
          <w:tcPr>
            <w:tcW w:type="dxa" w:w="5400"/>
          </w:tcPr>
          <w:p>
            <w:r>
              <w:rPr>
                <w:b/>
              </w:rPr>
              <w:t xml:space="preserve">Document owner</w:t>
            </w:r>
          </w:p>
        </w:tc>
        <w:tc>
          <w:tcPr>
            <w:tcW w:type="dxa" w:w="5400"/>
          </w:tcPr>
          <w:p>
            <w:r>
              <w:t xml:space="preserve">Information Security Lead</w:t>
            </w:r>
          </w:p>
        </w:tc>
      </w:tr>
      <w:tr>
        <w:tc>
          <w:tcPr>
            <w:tcW w:type="dxa" w:w="5400"/>
          </w:tcPr>
          <w:p>
            <w:r>
              <w:rPr>
                <w:b/>
              </w:rPr>
              <w:t xml:space="preserve">Approved by</w:t>
            </w:r>
          </w:p>
        </w:tc>
        <w:tc>
          <w:tcPr>
            <w:tcW w:type="dxa" w:w="5400"/>
          </w:tcPr>
          <w:p>
            <w:r>
              <w:rPr>
                <w:highlight w:val="yellow"/>
              </w:rPr>
              <w:t xml:space="preserve">[Name and title, e.g., Chief Executive Officer]</w:t>
            </w:r>
          </w:p>
        </w:tc>
      </w:tr>
      <w:tr>
        <w:tc>
          <w:tcPr>
            <w:tcW w:type="dxa" w:w="5400"/>
          </w:tcPr>
          <w:p>
            <w:r>
              <w:rPr>
                <w:b/>
              </w:rPr>
              <w:t xml:space="preserve">Effective date</w:t>
            </w:r>
          </w:p>
        </w:tc>
        <w:tc>
          <w:tcPr>
            <w:tcW w:type="dxa" w:w="5400"/>
          </w:tcPr>
          <w:p>
            <w:r>
              <w:rPr>
                <w:highlight w:val="yellow"/>
              </w:rPr>
              <w:t xml:space="preserve">[Date]</w:t>
            </w:r>
          </w:p>
        </w:tc>
      </w:tr>
      <w:tr>
        <w:tc>
          <w:tcPr>
            <w:tcW w:type="dxa" w:w="5400"/>
          </w:tcPr>
          <w:p>
            <w:r>
              <w:rPr>
                <w:b/>
              </w:rPr>
              <w:t xml:space="preserve">Next review date</w:t>
            </w:r>
          </w:p>
        </w:tc>
        <w:tc>
          <w:tcPr>
            <w:tcW w:type="dxa" w:w="5400"/>
          </w:tcPr>
          <w:p>
            <w:r>
              <w:rPr>
                <w:highlight w:val="yellow"/>
              </w:rPr>
              <w:t xml:space="preserve">[Date, no later than one year after the effective date]</w:t>
            </w:r>
          </w:p>
        </w:tc>
      </w:tr>
      <w:tr>
        <w:tc>
          <w:tcPr>
            <w:tcW w:type="dxa" w:w="5400"/>
          </w:tcPr>
          <w:p>
            <w:r>
              <w:rPr>
                <w:b/>
              </w:rPr>
              <w:t xml:space="preserve">Classification</w:t>
            </w:r>
          </w:p>
        </w:tc>
        <w:tc>
          <w:tcPr>
            <w:tcW w:type="dxa" w:w="5400"/>
          </w:tcPr>
          <w:p>
            <w:r>
              <w:rPr>
                <w:highlight w:val="yellow"/>
              </w:rPr>
              <w:t xml:space="preserve">[e.g., Internal (shareable with customers and auditors on request)]</w:t>
            </w:r>
          </w:p>
        </w:tc>
      </w:tr>
    </w:tbl>
    <w:p>
      <w:r>
        <w:rPr>
          <w:b/>
        </w:rPr>
        <w:t>Revision History</w:t>
      </w:r>
    </w:p>
    <w:tbl>
      <w:tblPr>
        <w:tblStyle w:val="TableGrid"/>
        <w:tblW w:type="auto" w:w="0"/>
        <w:tblLook w:firstColumn="1" w:firstRow="1" w:lastColumn="0" w:lastRow="0" w:noHBand="0" w:noVBand="1" w:val="04A0"/>
      </w:tblPr>
      <w:tblGrid>
        <w:gridCol w:w="1440"/>
        <w:gridCol w:w="2520"/>
        <w:gridCol w:w="6840"/>
      </w:tblGrid>
      <w:tr>
        <w:tc>
          <w:tcPr>
            <w:tcW w:type="dxa" w:w="1440"/>
          </w:tcPr>
          <w:p>
            <w:r>
              <w:rPr>
                <w:b/>
              </w:rPr>
              <w:t xml:space="preserve">Version</w:t>
            </w:r>
          </w:p>
        </w:tc>
        <w:tc>
          <w:tcPr>
            <w:tcW w:type="dxa" w:w="2520"/>
          </w:tcPr>
          <w:p>
            <w:r>
              <w:rPr>
                <w:b/>
              </w:rPr>
              <w:t xml:space="preserve">Date</w:t>
            </w:r>
          </w:p>
        </w:tc>
        <w:tc>
          <w:tcPr>
            <w:tcW w:type="dxa" w:w="6840"/>
          </w:tcPr>
          <w:p>
            <w:r>
              <w:rPr>
                <w:b/>
              </w:rPr>
              <w:t xml:space="preserve">Summary of changes</w:t>
            </w:r>
          </w:p>
        </w:tc>
      </w:tr>
      <w:tr>
        <w:tc>
          <w:tcPr>
            <w:tcW w:type="dxa" w:w="1440"/>
          </w:tcPr>
          <w:p>
            <w:r>
              <w:t xml:space="preserve">1.0</w:t>
            </w:r>
          </w:p>
        </w:tc>
        <w:tc>
          <w:tcPr>
            <w:tcW w:type="dxa" w:w="2520"/>
          </w:tcPr>
          <w:p>
            <w:r>
              <w:rPr>
                <w:highlight w:val="yellow"/>
              </w:rPr>
              <w:t xml:space="preserve">[Date]</w:t>
            </w:r>
          </w:p>
        </w:tc>
        <w:tc>
          <w:tcPr>
            <w:tcW w:type="dxa" w:w="6840"/>
          </w:tcPr>
          <w:p>
            <w:r>
              <w:t xml:space="preserve">Initial version.</w:t>
            </w:r>
          </w:p>
        </w:tc>
      </w:tr>
    </w:tbl>
    <w:p>
      <w:pPr>
        <w:pStyle w:val="Heading1"/>
      </w:pPr>
      <w:r>
        <w:t xml:space="preserve">1.0 Purpose</w:t>
      </w:r>
    </w:p>
    <w:p>
      <w:r>
        <w:t xml:space="preserve">This policy defines the acceptable use of the information systems, data, and devices of </w:t>
      </w:r>
      <w:r>
        <w:rPr>
          <w:highlight w:val="yellow"/>
        </w:rPr>
        <w:t>[Company Name]</w:t>
      </w:r>
      <w:r>
        <w:t xml:space="preserve"> ("the organization"). It sets the rules that keep them safe: what those systems may be used for, what is prohibited, and the habits expected of everyone with access.</w:t>
      </w:r>
    </w:p>
    <w:p>
      <w:r>
        <w:t xml:space="preserve">This policy is a supporting policy of the organization's Information Security Policy. It puts into daily practice the acceptable use, asset handling, and user responsibility expectations of ISO/IEC 27001:2022 Annex A and the NIST Cybersecurity Framework (CSF) 2.0 (see Section 9.0).</w:t>
      </w:r>
    </w:p>
    <w:p>
      <w:pPr>
        <w:pStyle w:val="Heading1"/>
      </w:pPr>
      <w:r>
        <w:t xml:space="preserve">2.0 Scope</w:t>
      </w:r>
    </w:p>
    <w:p>
      <w:r>
        <w:t>This policy applies to everyone who uses the organization's information systems, services, or data: employees, contractors, and any other authorized users, on any device, wherever they work. It covers organization-owned equipment and personal devices approved for business use, and it applies alongside the supporting policies listed in Section 9.0. On an approved personal device, this policy governs business use and the organization's data, accounts, and management profile (the device-management settings Section 3.6 describes), not personal content or personal apps (see Sections 3.13 and 3.14).</w:t>
      </w:r>
    </w:p>
    <w:p>
      <w:pPr>
        <w:pStyle w:val="Heading1"/>
      </w:pPr>
      <w:r>
        <w:t xml:space="preserve">3.0 Policy Statements</w:t>
      </w:r>
    </w:p>
    <w:p>
      <w:r>
        <w:t>Throughout this policy, a statement of what the organization or its people do ("is encrypted", "are recorded") is a requirement, as are "must", "shall", and direct instructions such as "use only" or "never". The words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 xml:space="preserve">3.1 General Use</w:t>
      </w:r>
    </w:p>
    <w:p>
      <w:pPr>
        <w:pStyle w:val="ListBullet"/>
      </w:pPr>
      <w:r>
        <w:t xml:space="preserve">Use the organization's systems, data, and equipment for authorized business purposes. Occasional personal use (checking a personal email, a quick errand online) is acceptable when it is lawful, does not interfere with work or security, and stays clear of the uses Section 3.2 prohibits. The organization decides whether use is occasional and whether it interferes; stop when asked.</w:t>
      </w:r>
    </w:p>
    <w:p>
      <w:pPr>
        <w:pStyle w:val="ListBullet"/>
      </w:pPr>
      <w:r>
        <w:t xml:space="preserve">Follow the law, the organization's policies, and software licensing terms in everything done on the organization's systems.</w:t>
      </w:r>
    </w:p>
    <w:p>
      <w:pPr>
        <w:pStyle w:val="Heading2"/>
      </w:pPr>
      <w:r>
        <w:t xml:space="preserve">3.2 Unacceptable Use</w:t>
      </w:r>
    </w:p>
    <w:p>
      <w:r>
        <w:t xml:space="preserve">Everyone covered by this policy must not:</w:t>
      </w:r>
    </w:p>
    <w:p>
      <w:pPr>
        <w:pStyle w:val="ListBullet"/>
      </w:pPr>
      <w:r>
        <w:t xml:space="preserve">Access or distribute unlawful or harassing material, or material that violates the organization's Human Resources (HR) policies, through the organization's systems.</w:t>
      </w:r>
    </w:p>
    <w:p>
      <w:pPr>
        <w:pStyle w:val="ListBullet"/>
      </w:pPr>
      <w:r>
        <w:t>Disable, bypass, or interfere with security controls such as protection against malware (malicious software), disk encryption, or web filters.</w:t>
      </w:r>
    </w:p>
    <w:p>
      <w:pPr>
        <w:pStyle w:val="ListBullet"/>
      </w:pPr>
      <w:r>
        <w:t>Install software or browser extensions the organization has not approved on the organization's systems, or use unapproved software or extensions to do business or handle organization data on any device. Personal apps on an approved personal device, kept away from organization data, are the owner's own (see Section 2.0).</w:t>
      </w:r>
    </w:p>
    <w:p>
      <w:pPr>
        <w:pStyle w:val="ListBullet"/>
      </w:pPr>
      <w:r>
        <w:t>Connect unapproved hardware to the organization's systems (standard peripherals such as a monitor, keyboard, mouse, or headset are acceptable unless the organization says otherwise; anything that stores data needs approval, see Section 3.10).</w:t>
      </w:r>
    </w:p>
    <w:p>
      <w:pPr>
        <w:pStyle w:val="ListBullet"/>
      </w:pPr>
      <w:r>
        <w:t xml:space="preserve">Share accounts, passwords, or access tokens (sign-in codes or keys that grant access) with anyone, inside or outside the organization.</w:t>
      </w:r>
    </w:p>
    <w:p>
      <w:pPr>
        <w:pStyle w:val="ListBullet"/>
      </w:pPr>
      <w:r>
        <w:t xml:space="preserve">Move, copy, or enter organization data into unapproved devices, storage media, or online services.</w:t>
      </w:r>
    </w:p>
    <w:p>
      <w:pPr>
        <w:pStyle w:val="ListBullet"/>
      </w:pPr>
      <w:r>
        <w:t>Extract, download, or compile sensitive information (customer data, personal information, financial records, intellectual property) beyond what the assigned work requires, unless approved in advance (Section 4.0 says who approves). When in doubt about what the work requires, ask first.</w:t>
      </w:r>
    </w:p>
    <w:p>
      <w:pPr>
        <w:pStyle w:val="ListBullet"/>
      </w:pPr>
      <w:r>
        <w:t xml:space="preserve">Photograph or record sensitive information from screens, documents, meetings, or calls, unless the recording is both authorized and made with a tool approved for that purpose.</w:t>
      </w:r>
    </w:p>
    <w:p>
      <w:pPr>
        <w:pStyle w:val="ListBullet"/>
      </w:pPr>
      <w:r>
        <w:t>Intentionally damage, delete, alter, or make unavailable any organization data, systems, or backups without authorization.</w:t>
      </w:r>
    </w:p>
    <w:p>
      <w:pPr>
        <w:pStyle w:val="ListBullet"/>
      </w:pPr>
      <w:r>
        <w:t xml:space="preserve">Alter or falsify logs, audit trails, or other records of activity, delete them outside the organization's retention and disposal rules, or otherwise conceal what was done on the organization's systems.</w:t>
      </w:r>
    </w:p>
    <w:p>
      <w:pPr>
        <w:pStyle w:val="ListBullet"/>
      </w:pPr>
      <w:r>
        <w:t>Knowingly introduce or spread malware in the organization's systems (an accidental infection is not a violation; it is an incident to report under Section 7.0).</w:t>
      </w:r>
    </w:p>
    <w:p>
      <w:pPr>
        <w:pStyle w:val="ListBullet"/>
      </w:pPr>
      <w:r>
        <w:t xml:space="preserve">Probe, scan, or attack any system, internal or external, without written authorization from the Information Security Lead.</w:t>
      </w:r>
    </w:p>
    <w:p>
      <w:pPr>
        <w:pStyle w:val="ListBullet"/>
      </w:pPr>
      <w:r>
        <w:t xml:space="preserve">Use the organization's systems or resources to run a personal business, perform outside employment, mine cryptocurrency, or resell computing or network capacity.</w:t>
      </w:r>
    </w:p>
    <w:p>
      <w:pPr>
        <w:pStyle w:val="Heading2"/>
      </w:pPr>
      <w:r>
        <w:t xml:space="preserve">3.3 Information and Data Handling</w:t>
      </w:r>
    </w:p>
    <w:p>
      <w:pPr>
        <w:pStyle w:val="ListBullet"/>
      </w:pPr>
      <w:r>
        <w:t xml:space="preserve">Handle information according to its classification (the sensitivity level the organization assigns it under the Data Handling Policy) and the organization's data handling rules, including retention and disposal. Copies and extracts inherit the classification of the original.</w:t>
      </w:r>
    </w:p>
    <w:p>
      <w:pPr>
        <w:pStyle w:val="ListBullet"/>
      </w:pPr>
      <w:r>
        <w:t xml:space="preserve">Share sensitive information only with people authorized to see it, over approved channels.</w:t>
      </w:r>
    </w:p>
    <w:p>
      <w:pPr>
        <w:pStyle w:val="ListBullet"/>
      </w:pPr>
      <w:r>
        <w:t xml:space="preserve">Enter organization information only into AI tools and other online services the organization has approved, and only for the sensitivity levels the approval covers: a tool approved for everyday information is not approved for sensitive information. Never put sensitive information into an unapproved AI tool, and never put organization information of any kind into an AI tool through a personal account.</w:t>
      </w:r>
    </w:p>
    <w:p>
      <w:pPr>
        <w:pStyle w:val="ListBullet"/>
      </w:pPr>
      <w:r>
        <w:t xml:space="preserve">Check AI-generated content for accuracy before using it in deliverables or decisions. Whoever uses or passes on the output is responsible for it.</w:t>
      </w:r>
    </w:p>
    <w:p>
      <w:pPr>
        <w:pStyle w:val="ListBullet"/>
      </w:pPr>
      <w:r>
        <w:t xml:space="preserve">Connect AI assistants, meeting note-takers, AI agents, or any other app or agent to organization accounts, meetings, or data only when the organization has approved that tool for that use. Granting sign-in access counts as connecting.</w:t>
      </w:r>
    </w:p>
    <w:p>
      <w:pPr>
        <w:pStyle w:val="ListBullet"/>
      </w:pPr>
      <w:r>
        <w:t>If an unapproved tool joins a meeting you host, remove it; until it is gone, stop discussing organization business. If you are not the host, alert the host. Either way, report what happened (see Section 7.0).</w:t>
      </w:r>
    </w:p>
    <w:p>
      <w:pPr>
        <w:pStyle w:val="ListBullet"/>
      </w:pPr>
      <w:r>
        <w:t xml:space="preserve">Store organization data in approved locations, where it is protected and backed up. Keeping a working copy on a local device is fine, as long as the master copy stays in an approved, backed-up location.</w:t>
      </w:r>
    </w:p>
    <w:p>
      <w:pPr>
        <w:pStyle w:val="Heading2"/>
      </w:pPr>
      <w:r>
        <w:t xml:space="preserve">3.4 Accounts and Passwords</w:t>
      </w:r>
    </w:p>
    <w:p>
      <w:pPr>
        <w:pStyle w:val="ListBullet"/>
      </w:pPr>
      <w:r>
        <w:t>Keep credentials (usernames, passwords, sign-in codes) personal: never sign in with someone else's account, and never share yours (Section 3.2).</w:t>
      </w:r>
    </w:p>
    <w:p>
      <w:pPr>
        <w:pStyle w:val="ListBullet"/>
      </w:pPr>
      <w:r>
        <w:t>Use a unique, strong password for every organization account (the Access Control Policy defines the requirements). Use multi-factor authentication (MFA: a second sign-in step, such as an app prompt or a code) wherever the organization requires it. Complete its setup whenever an organization account offers or prompts for it, and never turn it off or weaken it; ask for help rather than skip it.</w:t>
      </w:r>
    </w:p>
    <w:p>
      <w:pPr>
        <w:pStyle w:val="ListBullet"/>
      </w:pPr>
      <w:r>
        <w:t xml:space="preserve">Do not use organization email addresses or passwords to sign up for personal, non-business services.</w:t>
      </w:r>
    </w:p>
    <w:p>
      <w:pPr>
        <w:pStyle w:val="ListBullet"/>
      </w:pPr>
      <w:r>
        <w:t>Deny and report any sign-in prompt or multi-factor approval you did not start and cannot explain. Never share or enter a verification code you did not request. If approval prompts keep coming, never approve one just to make them stop; report them.</w:t>
      </w:r>
    </w:p>
    <w:p>
      <w:pPr>
        <w:pStyle w:val="ListBullet"/>
      </w:pPr>
      <w:r>
        <w:t xml:space="preserve">Access only the systems and data needed for the job. Do not explore beyond authorized access, even when it is technically possible.</w:t>
      </w:r>
    </w:p>
    <w:p>
      <w:pPr>
        <w:pStyle w:val="Heading2"/>
      </w:pPr>
      <w:r>
        <w:t xml:space="preserve">3.5 Clear Desk and Clear Screen</w:t>
      </w:r>
    </w:p>
    <w:p>
      <w:pPr>
        <w:pStyle w:val="ListBullet"/>
      </w:pPr>
      <w:r>
        <w:t xml:space="preserve">Lock the screen whenever a device is left unattended.</w:t>
      </w:r>
    </w:p>
    <w:p>
      <w:pPr>
        <w:pStyle w:val="ListBullet"/>
      </w:pPr>
      <w:r>
        <w:t xml:space="preserve">Keep sensitive material out of sight when it is not in use: store printed documents and removable media (USB drives, external disks) securely, collect printing from shared printers promptly, and dispose of sensitive paper securely.</w:t>
      </w:r>
    </w:p>
    <w:p>
      <w:pPr>
        <w:pStyle w:val="ListBullet"/>
      </w:pPr>
      <w:r>
        <w:t xml:space="preserve">At the end of the working day, leave no sensitive information visible on desks, screens, or whiteboards, in the office or at home.</w:t>
      </w:r>
    </w:p>
    <w:p>
      <w:pPr>
        <w:pStyle w:val="ListBullet"/>
      </w:pPr>
      <w:r>
        <w:t>Take sensitive printed material off-site only when the work requires it. Protect it in transit, and dispose of it securely.</w:t>
      </w:r>
    </w:p>
    <w:p>
      <w:pPr>
        <w:pStyle w:val="Heading2"/>
      </w:pPr>
      <w:r>
        <w:t xml:space="preserve">3.6 Devices</w:t>
      </w:r>
    </w:p>
    <w:p>
      <w:pPr>
        <w:pStyle w:val="ListBullet"/>
      </w:pPr>
      <w:r>
        <w:t xml:space="preserve">Let security updates install promptly on every device used for business. If the organization manages the device (it installs updates for you), do not postpone or turn off those updates for more than </w:t>
      </w:r>
      <w:r>
        <w:rPr>
          <w:highlight w:val="yellow"/>
        </w:rPr>
        <w:t>[14]</w:t>
      </w:r>
      <w:r>
        <w:t xml:space="preserve"> days. If you manage the device yourself, install security updates within the same </w:t>
      </w:r>
      <w:r>
        <w:rPr>
          <w:highlight w:val="yellow"/>
        </w:rPr>
        <w:t>[14]</w:t>
      </w:r>
      <w:r>
        <w:t xml:space="preserve"> days of their release.</w:t>
      </w:r>
    </w:p>
    <w:p>
      <w:pPr>
        <w:pStyle w:val="ListBullet"/>
      </w:pPr>
      <w:r>
        <w:t>Personal devices used for business must be approved and enrolled in the organization's device management before they access organization data. Enrollment installs a management profile, which lets the organization protect and, if needed, remove the organization's own data. It also includes signing the enrollment acknowledgment: what the organization can and cannot see on the device (including location), the protection that applies on that platform, your responsibility for backing up personal content, and the data removal terms in Section 3.14. Enrolled personal devices must meet the same security requirements as organization-owned devices.</w:t>
      </w:r>
    </w:p>
    <w:p>
      <w:pPr>
        <w:pStyle w:val="ListBullet"/>
      </w:pPr>
      <w:r>
        <w:t xml:space="preserve">Protect devices physically: do not leave them unattended in public places or visible in vehicles, as the Remote Work &amp; Mobile Device Policy details.</w:t>
      </w:r>
    </w:p>
    <w:p>
      <w:pPr>
        <w:pStyle w:val="ListBullet"/>
      </w:pPr>
      <w:r>
        <w:t xml:space="preserve">Report a lost or stolen device immediately (see Section 7.0), whether it is organization-owned or a personal device used for business.</w:t>
      </w:r>
    </w:p>
    <w:p>
      <w:pPr>
        <w:pStyle w:val="Heading2"/>
      </w:pPr>
      <w:r>
        <w:t xml:space="preserve">3.7 Email, Messaging, and Internet</w:t>
      </w:r>
    </w:p>
    <w:p>
      <w:pPr>
        <w:pStyle w:val="ListBullet"/>
      </w:pPr>
      <w:r>
        <w:t>Do not act on unexpected attachments, links, QR codes, or requests for payments or for credentials, however they arrive: email, message, phone call, or video (attackers imitate voices and faces). Verify the request through a channel you know is real. Report suspected phishing (fake messages or calls designed to steal information or money) instead of engaging with it.</w:t>
      </w:r>
    </w:p>
    <w:p>
      <w:pPr>
        <w:pStyle w:val="ListBullet"/>
      </w:pPr>
      <w:r>
        <w:t xml:space="preserve">A request to change a vendor's, employee's, or customer's payment details (a new bank account, new payroll deposit) is treated the same way: verify it with the requesting party through a contact channel already on file (not one from the request) before any change is made. That kind of request is business email compromise (BEC): fraud that gets money sent, or payment details changed, through a business email account an attacker has taken over or imitated. It often arrives from a real supplier's or colleague's mailbox, so it reads as routine and the filters pass it. Verifying through the channel already on file is what stops it.</w:t>
      </w:r>
    </w:p>
    <w:p>
      <w:pPr>
        <w:pStyle w:val="ListBullet"/>
      </w:pPr>
      <w:r>
        <w:t>Use the organization's approved email and messaging services for business communication. Do not forward organization email or files to personal accounts, whether manually or automatically.</w:t>
      </w:r>
    </w:p>
    <w:p>
      <w:pPr>
        <w:pStyle w:val="ListBullet"/>
      </w:pPr>
      <w:r>
        <w:t xml:space="preserve">Do not send sensitive information over channels the organization has not approved for it.</w:t>
      </w:r>
    </w:p>
    <w:p>
      <w:pPr>
        <w:pStyle w:val="Heading2"/>
      </w:pPr>
      <w:r>
        <w:t xml:space="preserve">3.8 Social Media</w:t>
      </w:r>
    </w:p>
    <w:p>
      <w:pPr>
        <w:pStyle w:val="ListBullet"/>
      </w:pPr>
      <w:r>
        <w:t>Do not speak for the organization on social media or elsewhere online unless authorized to do so. When mentioning the organization in personal posts, make clear the opinions are your own.</w:t>
      </w:r>
    </w:p>
    <w:p>
      <w:pPr>
        <w:pStyle w:val="ListBullet"/>
      </w:pPr>
      <w:r>
        <w:t xml:space="preserve">Never share confidential organization or customer information on social media, including in photos: screens, whiteboards, badges, and documents are easy to miss in the background.</w:t>
      </w:r>
    </w:p>
    <w:p>
      <w:pPr>
        <w:pStyle w:val="ListBullet"/>
      </w:pPr>
      <w:r>
        <w:t xml:space="preserve">Treat connection requests and direct messages from people you do not know with the same suspicion as unexpected email (see Section 3.7).</w:t>
      </w:r>
    </w:p>
    <w:p>
      <w:pPr>
        <w:pStyle w:val="Heading2"/>
      </w:pPr>
      <w:r>
        <w:t xml:space="preserve">3.9 Cloud Services and Software</w:t>
      </w:r>
    </w:p>
    <w:p>
      <w:pPr>
        <w:pStyle w:val="ListBullet"/>
      </w:pPr>
      <w:r>
        <w:t>Use only cloud services and applications the organization has approved when handling organization data or doing business tasks; adopting an unapproved service for business data is shadow IT, so request approval or an exception instead (see Section 6.0). Approval covers the organization's accounts on a service; the same service reached through a personal account is not approved for organization data.</w:t>
      </w:r>
    </w:p>
    <w:p>
      <w:pPr>
        <w:pStyle w:val="ListBullet"/>
      </w:pPr>
      <w:r>
        <w:t xml:space="preserve">Use software only under a valid license and only from sources the organization has approved.</w:t>
      </w:r>
    </w:p>
    <w:p>
      <w:pPr>
        <w:pStyle w:val="Heading2"/>
      </w:pPr>
      <w:r>
        <w:t xml:space="preserve">3.10 Removable Media</w:t>
      </w:r>
    </w:p>
    <w:p>
      <w:pPr>
        <w:pStyle w:val="ListBullet"/>
      </w:pPr>
      <w:r>
        <w:t>Avoid removable media (USB drives, external disks) when an approved alternative exists. When removable media is genuinely needed, use organization-approved, encrypted media only. Never connect media of unknown origin. Copying sensitive information to removable media, even approved media, requires prior approval.</w:t>
      </w:r>
    </w:p>
    <w:p>
      <w:pPr>
        <w:pStyle w:val="Heading2"/>
      </w:pPr>
      <w:r>
        <w:t xml:space="preserve">3.11 Remote Work and Public Places</w:t>
      </w:r>
    </w:p>
    <w:p>
      <w:pPr>
        <w:pStyle w:val="ListBullet"/>
      </w:pPr>
      <w:r>
        <w:t>Follow the organization's remote work requirements when working outside the office. On untrusted networks (public Wi-Fi or any other network the organization does not manage), connect to internal systems over the approved connection methods, such as the organization's VPN (a protected connection back to the organization's network). Ordinary, non-administrative sign-in to the organization's cloud services follows the Access Control Policy's normal rules and does not need the VPN; administrative access always uses the approved connection methods, even to cloud services.</w:t>
      </w:r>
    </w:p>
    <w:p>
      <w:pPr>
        <w:pStyle w:val="ListBullet"/>
      </w:pPr>
      <w:r>
        <w:t xml:space="preserve">Position screens away from public view and avoid discussing sensitive matters where they can be overheard.</w:t>
      </w:r>
    </w:p>
    <w:p>
      <w:pPr>
        <w:pStyle w:val="Heading2"/>
      </w:pPr>
      <w:r>
        <w:t xml:space="preserve">3.12 Physical Access and Visitors</w:t>
      </w:r>
    </w:p>
    <w:p>
      <w:pPr>
        <w:pStyle w:val="ListBullet"/>
      </w:pPr>
      <w:r>
        <w:t>Enter secured areas with your own badge or code. Never hold a secured door open for someone who has not used theirs (tailgating), even for someone you recognize. The one exception is a visitor you are escorting under the visitor rules in this section.</w:t>
      </w:r>
    </w:p>
    <w:p>
      <w:pPr>
        <w:pStyle w:val="ListBullet"/>
      </w:pPr>
      <w:r>
        <w:t xml:space="preserve">Bring visitors in only with the required approval (Section 4.0 says who approves), sign them in where the organization requires it, and accompany them in non-public areas.</w:t>
      </w:r>
    </w:p>
    <w:p>
      <w:pPr>
        <w:pStyle w:val="ListBullet"/>
      </w:pPr>
      <w:r>
        <w:t>Do not enter data centers, server rooms, or network and equipment closets unless authorized. Report propped-open secured doors and unattended badges wherever you see them, and report people you do not recognize in restricted areas (see Section 7.0).</w:t>
      </w:r>
    </w:p>
    <w:p>
      <w:pPr>
        <w:pStyle w:val="Heading2"/>
      </w:pPr>
      <w:r>
        <w:t xml:space="preserve">3.13 Monitoring and Privacy</w:t>
      </w:r>
    </w:p>
    <w:p>
      <w:pPr>
        <w:pStyle w:val="ListBullet"/>
      </w:pPr>
      <w:r>
        <w:t xml:space="preserve">Information created, sent, received, or stored on the organization's systems belongs to the organization, except where law provides otherwise. The organization does not claim personal content created through personal use (Section 3.1 sets its permitted scope). Monitoring of the organization's systems can still capture personal use on them.</w:t>
      </w:r>
    </w:p>
    <w:p>
      <w:pPr>
        <w:pStyle w:val="ListBullet"/>
      </w:pPr>
      <w:r>
        <w:rPr>
          <w:highlight w:val="yellow"/>
        </w:rPr>
        <w:t xml:space="preserve">[To operate and protect its systems and information, investigate suspected violations, and meet its legal obligations, the organization may log, monitor, and inspect their use, to the extent local law permits. Do not treat activity on the organization's systems as private.]</w:t>
      </w:r>
    </w:p>
    <w:p>
      <w:pPr>
        <w:pStyle w:val="ListBullet"/>
      </w:pPr>
      <w:r>
        <w:t>Where local law imposes additional requirements on workplace monitoring, the organization meets them before monitoring begins or continues. That includes documenting the monitoring's scope and methods, and consulting employee representatives where required.</w:t>
      </w:r>
    </w:p>
    <w:p>
      <w:pPr>
        <w:pStyle w:val="ListBullet"/>
      </w:pPr>
      <w:r>
        <w:t xml:space="preserve">On an approved personal device, this ownership and monitoring reach the organization's data, accounts, and management profile, not personal content.</w:t>
      </w:r>
    </w:p>
    <w:p>
      <w:pPr>
        <w:pStyle w:val="ListBullet"/>
      </w:pPr>
      <w:r>
        <w:t xml:space="preserve">This policy is general guidance, not legal advice. Have it reviewed by qualified legal counsel and adapted to your jurisdiction and activities before adopting it. It does not create an employment contract and does not change at-will employment where that is the local rule. </w:t>
      </w:r>
      <w:r>
        <w:rPr>
          <w:highlight w:val="yellow"/>
        </w:rPr>
        <w:t xml:space="preserve">[Have employment counsel confirm this bullet, especially the at-will sentence, which applies in the United States; adapt or delete it elsewhere.]</w:t>
      </w:r>
    </w:p>
    <w:p>
      <w:pPr>
        <w:pStyle w:val="Heading2"/>
      </w:pPr>
      <w:r>
        <w:t xml:space="preserve">3.14 Return of Assets</w:t>
      </w:r>
    </w:p>
    <w:p>
      <w:pPr>
        <w:pStyle w:val="ListBullet"/>
      </w:pPr>
      <w:r>
        <w:t xml:space="preserve">When employment or a contract ends, return every organization-owned asset (devices, storage media, access badges, and documents) by the last working day.</w:t>
      </w:r>
    </w:p>
    <w:p>
      <w:pPr>
        <w:pStyle w:val="ListBullet"/>
      </w:pPr>
      <w:r>
        <w:t xml:space="preserve">IT or security operations remove the organization's data from an approved personal device, or verify that it is removed, before access ends and no later than the last working day. Removal reaches the organization's data, accounts, and management profile, not personal content (see Section 3.13).</w:t>
      </w:r>
    </w:p>
    <w:p>
      <w:pPr>
        <w:pStyle w:val="ListBullet"/>
      </w:pPr>
      <w:r>
        <w:t xml:space="preserve">Removal has one exception: a device that could not separate work data into a walled-off work area (a work profile). On such a device, a loss or the end of approval may mean wiping the whole device. That wipe happens only if you agreed to it in writing at enrollment, so keep your own backup of personal content. A full wipe can also happen at your own request. </w:t>
      </w:r>
      <w:r>
        <w:rPr>
          <w:highlight w:val="yellow"/>
        </w:rPr>
        <w:t xml:space="preserve">[Keep the full-wipe sentences above only if the Remote Work &amp; Mobile Device Policy kept the full-wipe condition; where that policy limits such platforms to browser-only access instead, delete from "Removal has one exception" to the end of this paragraph.]</w:t>
      </w:r>
    </w:p>
    <w:p>
      <w:pPr>
        <w:pStyle w:val="ListBullet"/>
      </w:pPr>
      <w:r>
        <w:t>Approval to use a personal device requires keeping the organization's ability to remove its data enabled at all times, so removal still works if the device is lost. Disabling it (for example, by removing the management profile) ends the approval: access stops immediately, and you must cooperate with the removal in this section, including presenting the device for verification if asked.</w:t>
      </w:r>
    </w:p>
    <w:p>
      <w:pPr>
        <w:pStyle w:val="Heading1"/>
      </w:pPr>
      <w:r>
        <w:t xml:space="preserve">4.0 Roles and Responsibilities</w:t>
      </w:r>
    </w:p>
    <w:p>
      <w:pPr>
        <w:pStyle w:val="ListBullet"/>
      </w:pPr>
      <w:r>
        <w:t xml:space="preserve">The Information Security Lead owns this policy, keeps it current, and answers questions about what it requires.</w:t>
      </w:r>
    </w:p>
    <w:p>
      <w:pPr>
        <w:pStyle w:val="ListBullet"/>
      </w:pPr>
      <w:r>
        <w:t>The Information Security Lead approves, or delegates approval of, the tools, services, and storage locations this policy calls approved. The Lead keeps the list of approved tools and services where everyone covered by this policy can find it. Anything not on that list is not approved. Until the list is published, tools the organization already provides count as approved; ask the Information Security Lead before adopting anything else.</w:t>
      </w:r>
    </w:p>
    <w:p>
      <w:pPr>
        <w:pStyle w:val="ListBullet"/>
      </w:pPr>
      <w:r>
        <w:t>IT or security operations carry out the technical work this policy describes (device enrollment, update management, and the data removal in Section 3.14) under the Information Security Lead's direction.</w:t>
      </w:r>
    </w:p>
    <w:p>
      <w:pPr>
        <w:pStyle w:val="ListBullet"/>
      </w:pPr>
      <w:r>
        <w:t>Where this policy requires approval for an action (a large data extract, copying to removable media, bringing in a visitor), the Information Security Lead grants it or names who does.</w:t>
      </w:r>
    </w:p>
    <w:p>
      <w:pPr>
        <w:pStyle w:val="ListBullet"/>
      </w:pPr>
      <w:r>
        <w:t xml:space="preserve">Managers make sure their teams know and follow this policy, and work with Human Resources when it is violated.</w:t>
      </w:r>
    </w:p>
    <w:p>
      <w:pPr>
        <w:pStyle w:val="ListBullet"/>
      </w:pPr>
      <w:r>
        <w:t xml:space="preserve">Human Resources collects and keeps policy acknowledgments and tracks required training, consistent with the Information Security Policy.</w:t>
      </w:r>
    </w:p>
    <w:p>
      <w:pPr>
        <w:pStyle w:val="ListBullet"/>
      </w:pPr>
      <w:r>
        <w:t>Everyone covered by this policy must follow it and complete required security training. Everyone must also acknowledge the policy on the schedule Appendix 1 sets.</w:t>
      </w:r>
    </w:p>
    <w:p>
      <w:pPr>
        <w:pStyle w:val="Heading1"/>
      </w:pPr>
      <w:r>
        <w:t xml:space="preserve">5.0 Policy Review and Updates</w:t>
      </w:r>
    </w:p>
    <w:p>
      <w:r>
        <w:t xml:space="preserve">This policy shall be reviewed at least annually, and sooner when the business, technology, regulations, or the threat environment change significantly. The Information Security Lead starts the review, and Executive Management approves changes before they take effect, following the review process in the Information Security Policy.</w:t>
      </w:r>
    </w:p>
    <w:p>
      <w:pPr>
        <w:pStyle w:val="Heading1"/>
      </w:pPr>
      <w:r>
        <w:t xml:space="preserve">6.0 Exceptions</w:t>
      </w:r>
    </w:p>
    <w:p>
      <w:r>
        <w:t xml:space="preserve">Any planned deviation from this policy requires a documented exception, requested and approved through the exception process in the Information Security Policy. Submit the request in writing to the Information Security Lead. Describe the business reason, what the exception covers, how long it is needed, and any temporary safeguards that reduce the risk. Exceptions expire and are reviewed under that process.</w:t>
      </w:r>
    </w:p>
    <w:p>
      <w:r>
        <w:t xml:space="preserve">An exception documents a temporary gap that stays subject to expiry and review. A gap that is discovered rather than planned is reported and handled first (see Section 7.0); if it must stay open afterward, an exception is requested promptly. A deviation someone chose to make without approval, or a discovered gap kept outside this process, is a violation (see Section 8.0).</w:t>
      </w:r>
    </w:p>
    <w:p>
      <w:pPr>
        <w:pStyle w:val="Heading1"/>
      </w:pPr>
      <w:r>
        <w:t xml:space="preserve">7.0 Reporting Security Incidents and Concerns</w:t>
      </w:r>
    </w:p>
    <w:p>
      <w:r>
        <w:t>Report suspected security incidents, phishing, and policy violations promptly. Report lost or stolen devices immediately. Use the incident reporting contacts kept in the Information Security Policy (its Appendix 1). A report to any manager counts; the manager passes it to those contacts. Failing to report a security incident you know about or reasonably suspect is itself a policy violation (see Section 8.0).</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pPr>
        <w:pStyle w:val="Heading1"/>
      </w:pPr>
      <w:r>
        <w:t xml:space="preserve">8.0 Violations and Disciplinary Action</w:t>
      </w:r>
    </w:p>
    <w:p>
      <w:r>
        <w:t xml:space="preserve">Anyone who violates this policy can face disciplinary action, up to and including termination of employment or contract, and legal action where applicable. The response to a violation will depend on its severity, its impact on the organization's security, and any legal or regulatory requirements.</w:t>
      </w:r>
    </w:p>
    <w:p>
      <w:r>
        <w:t xml:space="preserve">Nothing in this policy restricts legally protected activity, such as discussing your own terms and conditions of employment.</w:t>
      </w:r>
    </w:p>
    <w:p>
      <w:pPr>
        <w:pStyle w:val="Heading1"/>
      </w:pPr>
      <w:r>
        <w:t xml:space="preserve">9.0 Related Policies and Standards</w:t>
      </w:r>
    </w:p>
    <w:p>
      <w:r>
        <w:t xml:space="preserve">This policy is a supporting policy of the Information Security Policy, the top-level document of the organization's information security policy set. This policy may set stricter rules; a stricter rule is not a conflict. If this policy contradicts the Information Security Policy, the Information Security Policy prevails.</w:t>
      </w:r>
    </w:p>
    <w:p>
      <w:r>
        <w:t xml:space="preserve">It works alongside these policies:</w:t>
      </w:r>
    </w:p>
    <w:p>
      <w:pPr>
        <w:pStyle w:val="ListBullet"/>
      </w:pPr>
      <w:r>
        <w:t xml:space="preserve">The Access Control Policy: the password, MFA, and sign-in requirements behind the account duties in Sections 3.4 and 3.11; that policy governs how the organization manages access.</w:t>
      </w:r>
    </w:p>
    <w:p>
      <w:pPr>
        <w:pStyle w:val="ListBullet"/>
      </w:pPr>
      <w:r>
        <w:t xml:space="preserve">The Data Handling Policy: classification, retention, and disposal.</w:t>
      </w:r>
    </w:p>
    <w:p>
      <w:pPr>
        <w:pStyle w:val="ListBullet"/>
      </w:pPr>
      <w:r>
        <w:t xml:space="preserve">The Incident Response Policy: how the incidents and losses reported under Section 7.0 are handled.</w:t>
      </w:r>
    </w:p>
    <w:p>
      <w:pPr>
        <w:pStyle w:val="ListBullet"/>
      </w:pPr>
      <w:r>
        <w:t xml:space="preserve">The Remote Work &amp; Mobile Device Policy: the organization's remote work and mobile device requirements.</w:t>
      </w:r>
    </w:p>
    <w:p>
      <w:pPr>
        <w:pStyle w:val="ListBullet"/>
      </w:pPr>
      <w:r>
        <w:t xml:space="preserve">The Physical and Environmental Security Policy: the physical controls behind the clear-desk, screen-lock, and premises-conduct duties this policy sets.</w:t>
      </w:r>
    </w:p>
    <w:p>
      <w:pPr>
        <w:pStyle w:val="ListBullet"/>
      </w:pPr>
      <w:r>
        <w:t xml:space="preserve">The AI Acceptable Use Policy: the AI-specific rules for using AI tools, especially generative AI, that build on this one.</w:t>
      </w:r>
    </w:p>
    <w:p>
      <w:pPr>
        <w:pStyle w:val="ListBullet"/>
      </w:pPr>
      <w:r>
        <w:t xml:space="preserve">The Email Security Policy: the organization-side mail protections behind this policy's phishing and payment-verification duties.</w:t>
      </w:r>
    </w:p>
    <w:p>
      <w:r>
        <w:t xml:space="preserve">Where any of these does not exist yet, treat it as a roadmap item; the rules in this policy apply on their own regardless.</w:t>
      </w:r>
    </w:p>
    <w:p>
      <w:r>
        <w:t xml:space="preserve">At a policy level, these rules put into practice the acceptable use, asset handling, and user responsibility controls of ISO/IEC 27001:2022 Annex A (among them control 5.10, acceptable use of information and other associated assets) and support the Govern and Protect functions of the NIST Cybersecurity Framework 2.0.</w:t>
      </w:r>
    </w:p>
    <w:p>
      <w:pPr>
        <w:pStyle w:val="Heading1"/>
        <w:pageBreakBefore/>
      </w:pPr>
      <w:r>
        <w:t xml:space="preserve">Appendix 1: Acknowledgment</w:t>
      </w:r>
    </w:p>
    <w:p>
      <w:r>
        <w:t>Each person covered by this policy must acknowledge it before being granted access: at onboarding for new joiners, or when the policy takes effect for people already working. Each person must acknowledge it again annually, and when the Information Security Lead determines it has changed significantly. Human Resources keeps completed acknowledgments with the records of each person's employment or engagement, as evidence under Section 3.1 of the Information Security Policy. The policy applies to everyone in Section 2.0 from their first use of the organization's systems, whether or not an acknowledgment is on file.</w:t>
      </w:r>
    </w:p>
    <w:p>
      <w:r>
        <w:t xml:space="preserve">I have read and understood the Acceptable Use Policy, and I agree to follow it.</w:t>
      </w:r>
    </w:p>
    <w:tbl>
      <w:tblPr>
        <w:tblStyle w:val="TableGrid"/>
        <w:tblW w:type="auto" w:w="0"/>
        <w:tblLook w:firstColumn="1" w:firstRow="1" w:lastColumn="0" w:lastRow="0" w:noHBand="0" w:noVBand="1" w:val="04A0"/>
      </w:tblPr>
      <w:tblGrid>
        <w:gridCol w:w="3600"/>
        <w:gridCol w:w="3600"/>
        <w:gridCol w:w="3600"/>
      </w:tblGrid>
      <w:tr>
        <w:tc>
          <w:tcPr>
            <w:tcW w:type="dxa" w:w="3600"/>
          </w:tcPr>
          <w:p>
            <w:r>
              <w:rPr>
                <w:b/>
              </w:rPr>
              <w:t xml:space="preserve">Name (printed)</w:t>
            </w:r>
          </w:p>
        </w:tc>
        <w:tc>
          <w:tcPr>
            <w:tcW w:type="dxa" w:w="3600"/>
          </w:tcPr>
          <w:p>
            <w:r>
              <w:rPr>
                <w:b/>
              </w:rPr>
              <w:t xml:space="preserve">Signature</w:t>
            </w:r>
          </w:p>
        </w:tc>
        <w:tc>
          <w:tcPr>
            <w:tcW w:type="dxa" w:w="3600"/>
          </w:tcPr>
          <w:p>
            <w:r>
              <w:rPr>
                <w:b/>
              </w:rPr>
              <w:t xml:space="preserve">Date</w:t>
            </w:r>
          </w:p>
        </w:tc>
      </w:tr>
      <w:tr>
        <w:tc>
          <w:tcPr>
            <w:tcW w:type="dxa" w:w="3600"/>
          </w:tcPr>
          <w:p/>
        </w:tc>
        <w:tc>
          <w:tcPr>
            <w:tcW w:type="dxa" w:w="3600"/>
          </w:tcPr>
          <w:p/>
        </w:tc>
        <w:tc>
          <w:tcPr>
            <w:tcW w:type="dxa" w:w="3600"/>
          </w:tcPr>
          <w:p/>
        </w:tc>
      </w:tr>
      <w:tr>
        <w:tc>
          <w:tcPr>
            <w:tcW w:type="dxa" w:w="3600"/>
          </w:tcPr>
          <w:p/>
        </w:tc>
        <w:tc>
          <w:tcPr>
            <w:tcW w:type="dxa" w:w="3600"/>
          </w:tcPr>
          <w:p/>
        </w:tc>
        <w:tc>
          <w:tcPr>
            <w:tcW w:type="dxa" w:w="3600"/>
          </w:tcPr>
          <w:p/>
        </w:tc>
      </w:tr>
      <w:tr>
        <w:tc>
          <w:tcPr>
            <w:tcW w:type="dxa" w:w="3600"/>
          </w:tcPr>
          <w:p/>
        </w:tc>
        <w:tc>
          <w:tcPr>
            <w:tcW w:type="dxa" w:w="3600"/>
          </w:tcPr>
          <w:p/>
        </w:tc>
        <w:tc>
          <w:tcPr>
            <w:tcW w:type="dxa" w:w="3600"/>
          </w:tcPr>
          <w:p/>
        </w:tc>
      </w:tr>
    </w:tbl>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Acceptable Use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3239</Words>
  <Characters>18359</Characters>
  <DocSecurity>0</DocSecurity>
  <Lines>180</Lines>
  <Paragraphs>139</Paragraphs>
  <ScaleCrop>false</ScaleCrop>
  <HeadingPairs>
    <vt:vector size="2" baseType="variant">
      <vt:variant>
        <vt:lpstr>Title</vt:lpstr>
      </vt:variant>
      <vt:variant>
        <vt:i4>1</vt:i4>
      </vt:variant>
    </vt:vector>
  </HeadingPairs>
  <TitlesOfParts>
    <vt:vector size="1" baseType="lpstr">
      <vt:lpstr>Acceptable Use Policy</vt:lpstr>
    </vt:vector>
  </TitlesOfParts>
  <Manager/>
  <Company>anoBytes Technology Solutions LLC</Company>
  <LinksUpToDate>false</LinksUpToDate>
  <CharactersWithSpaces>21469</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Acceptable Use Policy</dc:title>
  <dc:subject>Acceptable use policy template</dc:subject>
  <dc:creator>Nelson Pereira, anoBytes Technology Solutions LLC</dc:creator>
  <cp:keywords>credentials, removable media, usb, shadow it, social media, vpn, sign-in codes, qr codes, payment-verification, intellectual property, business email compromise, bec</cp:keywords>
  <dc:description>The acceptable use companion to our security policy set: the everyday rules employees sign, from passwords and phishing to AI tools and personal devices. Free to adapt for your organization.</dc:description>
  <cp:lastModifiedBy/>
  <cp:revision>1</cp:revision>
  <dcterms:created xsi:type="dcterms:W3CDTF">2026-07-14T00:00:00Z</dcterms:created>
  <dcterms:modified xsi:type="dcterms:W3CDTF">2026-08-06T00:00:00Z</dcterms:modified>
  <cp:category>Template</cp:category>
</cp:coreProperties>
</file>