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xml:space="preserve">Access Control Policy</w:t>
      </w:r>
    </w:p>
    <w:p>
      <w:r>
        <w:rPr>
          <w:b/>
        </w:rPr>
        <w:t>Document Control</w:t>
      </w:r>
    </w:p>
    <w:tbl>
      <w:tblPr>
        <w:tblStyle w:val="TableGrid"/>
        <w:tblW w:type="auto" w:w="0"/>
        <w:tblLook w:firstColumn="1" w:firstRow="1" w:lastColumn="0" w:lastRow="0" w:noHBand="0" w:noVBand="1" w:val="04A0"/>
      </w:tblPr>
      <w:tblGrid>
        <w:gridCol w:w="5400"/>
        <w:gridCol w:w="5400"/>
      </w:tblGrid>
      <w:tr>
        <w:tc>
          <w:tcPr>
            <w:tcW w:type="dxa" w:w="5400"/>
          </w:tcPr>
          <w:p>
            <w:r>
              <w:rPr>
                <w:b/>
              </w:rPr>
              <w:t xml:space="preserve">Document title</w:t>
            </w:r>
          </w:p>
        </w:tc>
        <w:tc>
          <w:tcPr>
            <w:tcW w:type="dxa" w:w="5400"/>
          </w:tcPr>
          <w:p>
            <w:r>
              <w:t xml:space="preserve">Access Control Policy</w:t>
            </w:r>
          </w:p>
        </w:tc>
      </w:tr>
      <w:tr>
        <w:tc>
          <w:tcPr>
            <w:tcW w:type="dxa" w:w="5400"/>
          </w:tcPr>
          <w:p>
            <w:r>
              <w:rPr>
                <w:b/>
              </w:rPr>
              <w:t xml:space="preserve">Version</w:t>
            </w:r>
          </w:p>
        </w:tc>
        <w:tc>
          <w:tcPr>
            <w:tcW w:type="dxa" w:w="5400"/>
          </w:tcPr>
          <w:p>
            <w:r>
              <w:t xml:space="preserve">1.0</w:t>
            </w:r>
          </w:p>
        </w:tc>
      </w:tr>
      <w:tr>
        <w:tc>
          <w:tcPr>
            <w:tcW w:type="dxa" w:w="5400"/>
          </w:tcPr>
          <w:p>
            <w:r>
              <w:rPr>
                <w:b/>
              </w:rPr>
              <w:t xml:space="preserve">Document owner</w:t>
            </w:r>
          </w:p>
        </w:tc>
        <w:tc>
          <w:tcPr>
            <w:tcW w:type="dxa" w:w="5400"/>
          </w:tcPr>
          <w:p>
            <w:r>
              <w:t xml:space="preserve">Information Security Lead</w:t>
            </w:r>
          </w:p>
        </w:tc>
      </w:tr>
      <w:tr>
        <w:tc>
          <w:tcPr>
            <w:tcW w:type="dxa" w:w="5400"/>
          </w:tcPr>
          <w:p>
            <w:r>
              <w:rPr>
                <w:b/>
              </w:rPr>
              <w:t xml:space="preserve">Approved by</w:t>
            </w:r>
          </w:p>
        </w:tc>
        <w:tc>
          <w:tcPr>
            <w:tcW w:type="dxa" w:w="5400"/>
          </w:tcPr>
          <w:p>
            <w:r>
              <w:rPr>
                <w:highlight w:val="yellow"/>
              </w:rPr>
              <w:t xml:space="preserve">[Name and title, e.g., Chief Executive Officer]</w:t>
            </w:r>
          </w:p>
        </w:tc>
      </w:tr>
      <w:tr>
        <w:tc>
          <w:tcPr>
            <w:tcW w:type="dxa" w:w="5400"/>
          </w:tcPr>
          <w:p>
            <w:r>
              <w:rPr>
                <w:b/>
              </w:rPr>
              <w:t xml:space="preserve">Effective date</w:t>
            </w:r>
          </w:p>
        </w:tc>
        <w:tc>
          <w:tcPr>
            <w:tcW w:type="dxa" w:w="5400"/>
          </w:tcPr>
          <w:p>
            <w:r>
              <w:rPr>
                <w:highlight w:val="yellow"/>
              </w:rPr>
              <w:t xml:space="preserve">[Date]</w:t>
            </w:r>
          </w:p>
        </w:tc>
      </w:tr>
      <w:tr>
        <w:tc>
          <w:tcPr>
            <w:tcW w:type="dxa" w:w="5400"/>
          </w:tcPr>
          <w:p>
            <w:r>
              <w:rPr>
                <w:b/>
              </w:rPr>
              <w:t xml:space="preserve">Next review date</w:t>
            </w:r>
          </w:p>
        </w:tc>
        <w:tc>
          <w:tcPr>
            <w:tcW w:type="dxa" w:w="5400"/>
          </w:tcPr>
          <w:p>
            <w:r>
              <w:rPr>
                <w:highlight w:val="yellow"/>
              </w:rPr>
              <w:t xml:space="preserve">[Date, no later than one year after the effective date]</w:t>
            </w:r>
          </w:p>
        </w:tc>
      </w:tr>
      <w:tr>
        <w:tc>
          <w:tcPr>
            <w:tcW w:type="dxa" w:w="5400"/>
          </w:tcPr>
          <w:p>
            <w:r>
              <w:rPr>
                <w:b/>
              </w:rPr>
              <w:t xml:space="preserve">Classification</w:t>
            </w:r>
          </w:p>
        </w:tc>
        <w:tc>
          <w:tcPr>
            <w:tcW w:type="dxa" w:w="5400"/>
          </w:tcPr>
          <w:p>
            <w:r>
              <w:rPr>
                <w:highlight w:val="yellow"/>
              </w:rPr>
              <w:t xml:space="preserve">[e.g., Internal (shareable with customers and auditors on request)]</w:t>
            </w:r>
          </w:p>
        </w:tc>
      </w:tr>
    </w:tbl>
    <w:p>
      <w:r>
        <w:rPr>
          <w:b/>
        </w:rPr>
        <w:t>Revision History</w:t>
      </w:r>
    </w:p>
    <w:tbl>
      <w:tblPr>
        <w:tblStyle w:val="TableGrid"/>
        <w:tblW w:type="auto" w:w="0"/>
        <w:tblLook w:firstColumn="1" w:firstRow="1" w:lastColumn="0" w:lastRow="0" w:noHBand="0" w:noVBand="1" w:val="04A0"/>
      </w:tblPr>
      <w:tblGrid>
        <w:gridCol w:w="1440"/>
        <w:gridCol w:w="2520"/>
        <w:gridCol w:w="6840"/>
      </w:tblGrid>
      <w:tr>
        <w:tc>
          <w:tcPr>
            <w:tcW w:type="dxa" w:w="1440"/>
          </w:tcPr>
          <w:p>
            <w:r>
              <w:rPr>
                <w:b/>
              </w:rPr>
              <w:t xml:space="preserve">Version</w:t>
            </w:r>
          </w:p>
        </w:tc>
        <w:tc>
          <w:tcPr>
            <w:tcW w:type="dxa" w:w="2520"/>
          </w:tcPr>
          <w:p>
            <w:r>
              <w:rPr>
                <w:b/>
              </w:rPr>
              <w:t xml:space="preserve">Date</w:t>
            </w:r>
          </w:p>
        </w:tc>
        <w:tc>
          <w:tcPr>
            <w:tcW w:type="dxa" w:w="6840"/>
          </w:tcPr>
          <w:p>
            <w:r>
              <w:rPr>
                <w:b/>
              </w:rPr>
              <w:t xml:space="preserve">Summary of changes</w:t>
            </w:r>
          </w:p>
        </w:tc>
      </w:tr>
      <w:tr>
        <w:tc>
          <w:tcPr>
            <w:tcW w:type="dxa" w:w="1440"/>
          </w:tcPr>
          <w:p>
            <w:r>
              <w:t xml:space="preserve">1.0</w:t>
            </w:r>
          </w:p>
        </w:tc>
        <w:tc>
          <w:tcPr>
            <w:tcW w:type="dxa" w:w="2520"/>
          </w:tcPr>
          <w:p>
            <w:r>
              <w:rPr>
                <w:highlight w:val="yellow"/>
              </w:rPr>
              <w:t xml:space="preserve">[Date]</w:t>
            </w:r>
          </w:p>
        </w:tc>
        <w:tc>
          <w:tcPr>
            <w:tcW w:type="dxa" w:w="6840"/>
          </w:tcPr>
          <w:p>
            <w:r>
              <w:t xml:space="preserve">Initial version.</w:t>
            </w:r>
          </w:p>
        </w:tc>
      </w:tr>
    </w:tbl>
    <w:p>
      <w:pPr>
        <w:pStyle w:val="Heading1"/>
      </w:pPr>
      <w:r>
        <w:t xml:space="preserve">1.0 Purpose</w:t>
      </w:r>
    </w:p>
    <w:p>
      <w:r>
        <w:t xml:space="preserve">This policy defines how access to the information, systems, and facilities of </w:t>
      </w:r>
      <w:r>
        <w:rPr>
          <w:highlight w:val="yellow"/>
        </w:rPr>
        <w:t xml:space="preserve">[Company Name]</w:t>
      </w:r>
      <w:r>
        <w:t xml:space="preserve"> ("the organization") is granted, used, reviewed, and removed. Taken together, that is identity and access management (IAM). Access decisions follow two principles throughout: least privilege (people get the access their work needs and no more) and separation of duties (conflicting steps, such as requesting and approving access, are split between people).</w:t>
      </w:r>
    </w:p>
    <w:p>
      <w:r>
        <w:t>This policy is a supporting policy of the organization's Information Security Policy. It gives effect to the access control requirements of ISO/IEC 27001:2022 Annex A and the corresponding outcomes of the NIST Cybersecurity Framework (CSF) 2.0. Its password rules meet or exceed NIST Special Publication (SP) 800-63B-4 (see Section 9.0).</w:t>
      </w:r>
    </w:p>
    <w:p>
      <w:pPr>
        <w:pStyle w:val="Heading1"/>
      </w:pPr>
      <w:r>
        <w:t xml:space="preserve">2.0 Scope</w:t>
      </w:r>
    </w:p>
    <w:p>
      <w:r>
        <w:t>This policy applies to every account and access right on the organization's systems, applications, cloud services, networks, and data. It also applies to the administration of physical access rights to the organization's facilities. It governs everyone who holds or grants such access: employees, contractors, vendors, and any other authorized users. The personal duties of account holders (keeping credentials secret, locking screens) live in the Acceptable Use Policy; this policy governs how the organization itself manages access.</w:t>
      </w:r>
    </w:p>
    <w:p>
      <w:pPr>
        <w:pStyle w:val="Heading1"/>
      </w:pPr>
      <w:r>
        <w:t xml:space="preserve">3.0 Policy Statements</w:t>
      </w:r>
    </w:p>
    <w:p>
      <w:r>
        <w:t>Throughout this policy, a statement of what the organization or its people do ("is encrypted", "are recorded") is a requirement, as are "must", "shall", and direct instructions such as "use only" or "never". The words "may" and "is acceptable" mark a permission. Where a requirement needs a planned deviation, Section 6.0 describes how to request an exception. Text in square brackets marks a decision to make when adopting this policy: a placeholder to fill in, a starting value to set, or a passage to review and then keep, adapt, or delete. Remove the brackets after each decision.</w:t>
      </w:r>
    </w:p>
    <w:p>
      <w:pPr>
        <w:pStyle w:val="Heading2"/>
      </w:pPr>
      <w:r>
        <w:t xml:space="preserve">3.1 Identities and Accounts</w:t>
      </w:r>
    </w:p>
    <w:p>
      <w:pPr>
        <w:pStyle w:val="ListBullet"/>
      </w:pPr>
      <w:r>
        <w:t>Every person gets a unique, individual account. Shared and generic accounts (such as a shared front-desk login) are prohibited unless the Information Security Lead approves an exception naming the owner and the minimum set of individually named users; changes to that list go through the same approval. Sharing is permitted only among those named users, and use is logged in a way that records which named user was acting (the system's log where it can attribute use, otherwise a sign-in record kept at the point of use). The shared credential is changed whenever a named user is removed from the list or leaves the organization. The exception is recorded under the Information Security Policy's exception process, so the approved arrangement also satisfies the Acceptable Use Policy's sharing prohibition.</w:t>
      </w:r>
    </w:p>
    <w:p>
      <w:pPr>
        <w:pStyle w:val="ListBullet"/>
      </w:pPr>
      <w:r>
        <w:t xml:space="preserve">Security operations maintains an inventory of accounts (including service, vendor, and administrator accounts) and keeps it current.</w:t>
      </w:r>
    </w:p>
    <w:p>
      <w:pPr>
        <w:pStyle w:val="ListBullet"/>
      </w:pPr>
      <w:r>
        <w:t>Accounts are created only through the documented approval process in Section 3.2. When employment or a contract ends, access is removed immediately: all of the person's accounts are disabled, and their active sessions, tokens (the access passes apps and devices hold), and app passwords (see Section 3.4) are revoked. Shared secrets the person knew, including shared account passwords and network keys, are changed as part of the departure. When the person who administers access is the one leaving, Executive Management assigns the removal to another administrator or to the organization's IT provider before the departure takes effect; the break-glass credentials (Section 3.5) cover the gap where no second administrator exists.</w:t>
      </w:r>
    </w:p>
    <w:p>
      <w:pPr>
        <w:pStyle w:val="ListBullet"/>
      </w:pPr>
      <w:r>
        <w:t>When someone changes roles, their access is re-evaluated against the new role; rights from the old role are removed rather than accumulated. When someone who owns a system, service account, or integration leaves or changes roles, that ownership is reassigned to a named person as part of the move or departure.</w:t>
      </w:r>
    </w:p>
    <w:p>
      <w:pPr>
        <w:pStyle w:val="ListBullet"/>
      </w:pPr>
      <w:r>
        <w:t xml:space="preserve">On a set schedule </w:t>
      </w:r>
      <w:r>
        <w:rPr>
          <w:highlight w:val="yellow"/>
        </w:rPr>
        <w:t>[at least monthly]</w:t>
      </w:r>
      <w:r>
        <w:t>, security operations checks for accounts with no authentication activity for 90 days, disables them, and keeps a record. Emergency (break-glass) credentials (see Section 3.5) and service accounts that no person signs in with (see Section 3.8) are exempt. Keeping any other dormant account enabled requires an exception (see Section 6.0).</w:t>
      </w:r>
    </w:p>
    <w:p>
      <w:pPr>
        <w:pStyle w:val="ListBullet"/>
      </w:pPr>
      <w:r>
        <w:t>Re-enabling an account that was disabled or dormant, or that belonged to a former holder, goes through the same request and approval as a new grant (see Section 3.2); accounts are never quietly turned back on. Accounts are disabled at the start of an extended leave of absence and re-enabled under the same re-enabling rule.</w:t>
      </w:r>
    </w:p>
    <w:p>
      <w:pPr>
        <w:pStyle w:val="ListBullet"/>
      </w:pPr>
      <w:r>
        <w:t xml:space="preserve">Default and vendor-supplied accounts are disabled or renamed, and their passwords changed, before a system enters use. These steps are recorded in the system's setup record.</w:t>
      </w:r>
    </w:p>
    <w:p>
      <w:pPr>
        <w:pStyle w:val="ListBullet"/>
      </w:pPr>
      <w:r>
        <w:t xml:space="preserve">Where practical, accounts are managed through a central identity provider (IdP: the one sign-in system the organization's other systems trust, and the basis of single sign-on or SSO); systems outside it remain fully subject to all the rules of this policy. The identity provider and the sign-in trust it extends (the assertions other systems accept when it vouches for a user) are protected as a critical system; administrative access to it follows the privileged-access rules in Section 3.5.</w:t>
      </w:r>
    </w:p>
    <w:p>
      <w:pPr>
        <w:pStyle w:val="Heading2"/>
      </w:pPr>
      <w:r>
        <w:t xml:space="preserve">3.2 Access Authorization and Least Privilege</w:t>
      </w:r>
    </w:p>
    <w:p>
      <w:pPr>
        <w:pStyle w:val="ListBullet"/>
      </w:pPr>
      <w:r>
        <w:t>Access is granted only through a documented request and approval, by the owner of the system or data (or a role they delegate), based on business need and the requester's job. No one approves their own access, and the person who requests access is not the one who approves it. In an organization too small for the requester and approver to be different people, one person may both request and approve access for someone else, but never for themselves. In that case a manager or the Information Security Lead (someone other than the person making the grant) monitors and records the grant, as the Information Security Policy provides.</w:t>
      </w:r>
    </w:p>
    <w:p>
      <w:pPr>
        <w:pStyle w:val="ListBullet"/>
      </w:pPr>
      <w:r>
        <w:t>Access follows the principle of least privilege: the minimum systems, data, and permissions the work requires. Access broader than the role requires is granted only with a documented exception (see Section 6.0). Standing (always-on) privileged access is governed by Section 3.5.</w:t>
      </w:r>
    </w:p>
    <w:p>
      <w:pPr>
        <w:pStyle w:val="ListBullet"/>
      </w:pPr>
      <w:r>
        <w:t xml:space="preserve">Access to sensitive information is restricted according to its classification and the organization's data handling rules.</w:t>
      </w:r>
    </w:p>
    <w:p>
      <w:pPr>
        <w:pStyle w:val="ListBullet"/>
      </w:pPr>
      <w:r>
        <w:t xml:space="preserve">Where practical, access is assigned through defined roles rather than individually, so that joiners, movers, and leavers are handled consistently. Approving a role's access bundle through the Section 3.2 process approves the bundle once; assigning the role to a person still follows Section 3.2's request and approval, which then covers everything in the bundle.</w:t>
      </w:r>
    </w:p>
    <w:p>
      <w:pPr>
        <w:pStyle w:val="ListBullet"/>
      </w:pPr>
      <w:r>
        <w:t xml:space="preserve">Records of access requests, approvals, changes, removals, and reviews are kept for at least twelve months. Review records are kept at least until the following review is complete. All of these are kept longer where the organization's data handling rules or the law require.</w:t>
      </w:r>
    </w:p>
    <w:p>
      <w:pPr>
        <w:pStyle w:val="Heading2"/>
      </w:pPr>
      <w:r>
        <w:t xml:space="preserve">3.3 Passwords and Authentication Information</w:t>
      </w:r>
    </w:p>
    <w:p>
      <w:r>
        <w:t xml:space="preserve">These are the password requirements referenced by the Acceptable Use Policy.</w:t>
      </w:r>
    </w:p>
    <w:p>
      <w:pPr>
        <w:pStyle w:val="ListBullet"/>
      </w:pPr>
      <w:r>
        <w:t xml:space="preserve">Where a password is the only authentication factor, it must be at least 15 characters. Where multi-factor authentication (MFA) is also on, the password must be at least 8. Systems the organization builds or configures accept passwords of at least 64 characters, so passphrases work, and they verify the whole password as entered, never a truncation of it and never selected characters only. Where a third-party service's password limits prevent meeting the minimums, the gap is handled through the exception process (see Section 6.0), and the weaker length is used only once that exception is approved.</w:t>
      </w:r>
    </w:p>
    <w:p>
      <w:pPr>
        <w:pStyle w:val="ListBullet"/>
      </w:pPr>
      <w:r>
        <w:t xml:space="preserve">Never reuse an organization password across accounts or on personal services; treat a reused or exposed password as compromised.</w:t>
      </w:r>
    </w:p>
    <w:p>
      <w:pPr>
        <w:pStyle w:val="ListBullet"/>
      </w:pPr>
      <w:r>
        <w:t>No composition rules: the organization does not require mixtures of character types. Password hints and security questions are never used. Systems the organization builds or configures store passwords only salted and hashed with an algorithm designed for password storage (the Encryption Policy sets that method).</w:t>
      </w:r>
    </w:p>
    <w:p>
      <w:pPr>
        <w:pStyle w:val="ListBullet"/>
      </w:pPr>
      <w:r>
        <w:t xml:space="preserve">No scheduled expiry: passwords are changed only when there is reason to believe they are compromised. Where a third-party service or a legal requirement forces scheduled expiry, the gap is handled through the exception process (see Section 6.0).</w:t>
      </w:r>
    </w:p>
    <w:p>
      <w:pPr>
        <w:pStyle w:val="ListBullet"/>
      </w:pPr>
      <w:r>
        <w:t>On every system the organization controls, new passwords are screened against known compromised, commonly used, and expected passwords (such as the organization's own name or the person's username). Repeated failed sign-in attempts are rate-limited (throttling or lockout). Where a system or third-party service cannot do one or both of these, the gap is handled through the exception process (see Section 6.0).</w:t>
      </w:r>
    </w:p>
    <w:p>
      <w:pPr>
        <w:pStyle w:val="ListBullet"/>
      </w:pPr>
      <w:r>
        <w:t xml:space="preserve">Password managers are permitted and encouraged, and systems the organization configures do not block pasting into password fields.</w:t>
      </w:r>
    </w:p>
    <w:p>
      <w:pPr>
        <w:pStyle w:val="ListBullet"/>
      </w:pPr>
      <w:r>
        <w:t>Initial and reset credentials are single-use, delivered securely, and changed at first sign-in. Identity is verified before a credential is issued and before every reset, and the verification is recorded, so that an impostor cannot call in and obtain or reset someone else's credentials. Recognizing a voice or face is not verification; use a method that an impersonator with cloned audio or video could not pass, such as a callback to a known number or a code sent to an enrolled channel.</w:t>
      </w:r>
    </w:p>
    <w:p>
      <w:pPr>
        <w:pStyle w:val="ListBullet"/>
      </w:pPr>
      <w:r>
        <w:t>Authentication secrets (passwords, keys, tokens) are never stored in plain text in documents, spreadsheets, or code, except emergency credentials stored as Section 3.5 requires.</w:t>
      </w:r>
    </w:p>
    <w:p>
      <w:pPr>
        <w:pStyle w:val="ListBullet"/>
      </w:pPr>
      <w:r>
        <w:t>Where a system supports passkeys (a sign-in method where your device holds the credential, so there is no password to type or phish) or other phishing-resistant passwordless sign-in, they may replace the password and count as multi-factor for Section 3.4; other passwordless methods require an exception (see Section 6.0).</w:t>
      </w:r>
    </w:p>
    <w:p>
      <w:pPr>
        <w:pStyle w:val="Heading2"/>
      </w:pPr>
      <w:r>
        <w:t xml:space="preserve">3.4 Multi-Factor Authentication</w:t>
      </w:r>
    </w:p>
    <w:p>
      <w:pPr>
        <w:pStyle w:val="ListBullet"/>
      </w:pPr>
      <w:r>
        <w:t xml:space="preserve">Multi-factor authentication is required for remote access, for administrator and other privileged access, and for access to systems that hold sensitive information (as classified under the organization's data handling rules). It is also enabled on every internet-reachable service that supports it, including cloud services. Security operations keeps a list of the organization's internet-reachable services and their multi-factor status. It verifies any claim that a service does not support multi-factor authentication: if multi-factor is available on a higher plan or by turning on a setting, the service counts as supporting it.</w:t>
      </w:r>
    </w:p>
    <w:p>
      <w:pPr>
        <w:pStyle w:val="ListBullet"/>
      </w:pPr>
      <w:r>
        <w:t xml:space="preserve">Phishing-resistant methods (passkeys and hardware security keys) are preferred, and are used for privileged accounts and for remote access where the systems support them. A key that stays on one device gives higher assurance than a passkey that syncs between devices. For the most critical access, prefer hardware security keys.</w:t>
      </w:r>
    </w:p>
    <w:p>
      <w:pPr>
        <w:pStyle w:val="ListBullet"/>
      </w:pPr>
      <w:r>
        <w:t>Authenticator apps (one-time codes, or push prompts with number matching) are acceptable where phishing-resistant methods are not yet in place. Plain approve-or-deny push prompts without number matching, and text-message and voice codes, are the weakest acceptable factors: use them only where a service supports nothing better. Emailed codes are not an acceptable factor.</w:t>
      </w:r>
    </w:p>
    <w:p>
      <w:pPr>
        <w:pStyle w:val="ListBullet"/>
      </w:pPr>
      <w:r>
        <w:t>Authentication paths that bypass multi-factor authentication are disabled by default and allowed only by exception (see Section 6.0). These include app passwords (fixed secondary passwords some services issue for older apps) and legacy sign-in protocols.</w:t>
      </w:r>
    </w:p>
    <w:p>
      <w:pPr>
        <w:pStyle w:val="ListBullet"/>
      </w:pPr>
      <w:r>
        <w:t xml:space="preserve">Where a service cannot support multi-factor authentication, the gap is recorded and handled through the exception process (see Section 6.0).</w:t>
      </w:r>
    </w:p>
    <w:p>
      <w:pPr>
        <w:pStyle w:val="Heading2"/>
      </w:pPr>
      <w:r>
        <w:t xml:space="preserve">3.5 Privileged Access</w:t>
      </w:r>
    </w:p>
    <w:p>
      <w:pPr>
        <w:pStyle w:val="ListBullet"/>
      </w:pPr>
      <w:r>
        <w:t>Administrator accounts are kept to a minimum, assigned to named individuals, and monitored. Administrative work is separated from daily work: where a system supports separate admin accounts or role elevation (temporarily raising rights for a task), use it. Never browse the web or read email while signed in with a privileged account or holding elevated rights. Where a system cannot give an administrator a separate, non-privileged account for daily work, handle the gap through the exception process (see Section 6.0).</w:t>
      </w:r>
    </w:p>
    <w:p>
      <w:pPr>
        <w:pStyle w:val="ListBullet"/>
      </w:pPr>
      <w:r>
        <w:t>Privileged sessions and actions are logged to a store the acting administrator cannot alter. Where a platform cannot protect its own logs, the logs are forwarded to an independent store, and the gap is handled through the exception process (see Section 6.0) so it is on record. Logging is never disabled. Monitoring and logging follow the notice and legal limits set in the Acceptable Use Policy.</w:t>
      </w:r>
    </w:p>
    <w:p>
      <w:pPr>
        <w:pStyle w:val="ListBullet"/>
      </w:pPr>
      <w:r>
        <w:t xml:space="preserve">Where the systems allow, privileged rights are granted for the task at hand and expire when it is done; standing (always-on) privileged access is recorded, justified, and reviewed quarterly (see Section 3.6).</w:t>
      </w:r>
    </w:p>
    <w:p>
      <w:pPr>
        <w:pStyle w:val="ListBullet"/>
      </w:pPr>
      <w:r>
        <w:t xml:space="preserve">Emergency (break-glass) credentials are stored sealed and offline or in approved secret storage. They are used only when normal administrative access is unavailable and waiting would cause harm. They are excluded from the normal sign-in controls so they work when those controls fail; where practical, a phishing-resistant authenticator stored with them provides the second factor, and the exclusion is not a deviation from Section 3.4 because the sealed storage, the use review, and the rotation below are its compensating controls.</w:t>
      </w:r>
    </w:p>
    <w:p>
      <w:pPr>
        <w:pStyle w:val="ListBullet"/>
      </w:pPr>
      <w:r>
        <w:t xml:space="preserve">Sign-in with break-glass credentials alerts security operations where the system supports it, and whoever uses them reports the use to the Information Security Lead the same day. The Information Security Lead reviews each use (a use by the Lead is reviewed by Executive Management), and the credentials are rotated after every use and whenever anyone with access to them leaves.</w:t>
      </w:r>
    </w:p>
    <w:p>
      <w:pPr>
        <w:pStyle w:val="Heading2"/>
      </w:pPr>
      <w:r>
        <w:t xml:space="preserve">3.6 Access Reviews</w:t>
      </w:r>
    </w:p>
    <w:p>
      <w:pPr>
        <w:pStyle w:val="ListBullet"/>
      </w:pPr>
      <w:r>
        <w:t xml:space="preserve">System and data owners review the access to their systems at least annually, and privileged access at least quarterly, confirming that every right is still needed. Each review records the reviewer, the date, the right-still-needed decision, the findings, and the fixes (see Section 3.2 and Appendix 1).</w:t>
      </w:r>
    </w:p>
    <w:p>
      <w:pPr>
        <w:pStyle w:val="ListBullet"/>
      </w:pPr>
      <w:r>
        <w:t>Third-party app and integration access is reviewed too, and documented like the others. Section 3.9 sets the review's scope and cadence and the triggers for revoking an integration (the Acceptable Use Policy governs a user's act of granting access).</w:t>
      </w:r>
    </w:p>
    <w:p>
      <w:pPr>
        <w:pStyle w:val="ListBullet"/>
      </w:pPr>
      <w:r>
        <w:t xml:space="preserve">Review findings are fixed promptly: rights that are no longer needed are removed, and unexplained accounts are disabled and investigated.</w:t>
      </w:r>
    </w:p>
    <w:p>
      <w:pPr>
        <w:pStyle w:val="ListBullet"/>
      </w:pPr>
      <w:r>
        <w:t>Departures are verified: security operations confirms each leaver's access removal promptly after the departure, coordinated with Human Resources for employees and with the internal sponsor (see Section 3.7) for third parties. The reviews in this section double-check that leavers' access is gone.</w:t>
      </w:r>
    </w:p>
    <w:p>
      <w:pPr>
        <w:pStyle w:val="Heading2"/>
      </w:pPr>
      <w:r>
        <w:t xml:space="preserve">3.7 Remote and Third-Party Access</w:t>
      </w:r>
    </w:p>
    <w:p>
      <w:pPr>
        <w:pStyle w:val="ListBullet"/>
      </w:pPr>
      <w:r>
        <w:t>Ordinary, non-administrative sign-in to the organization's cloud services is governed by Section 3.4. From outside the organization's networks, access to internal systems and to administrative interfaces (including the administrative consoles of cloud services) goes only through methods the Information Security Lead has approved, such as a VPN (a protected connection back to the organization's network) for internal systems and stronger sign-in controls for cloud consoles.</w:t>
      </w:r>
    </w:p>
    <w:p>
      <w:pPr>
        <w:pStyle w:val="ListBullet"/>
      </w:pPr>
      <w:r>
        <w:t xml:space="preserve">Third-party access requires an internal sponsor who owns the access, a contract or confidentiality agreement per the Information Security Policy, an end date, and removal when the engagement ends. Contractors working as part of the organization's staff are treated as internal users for account and authentication rules, but still require a contract, a recorded end date, and removal when the engagement ends; vendor and service-provider personnel are third parties under this section.</w:t>
      </w:r>
    </w:p>
    <w:p>
      <w:pPr>
        <w:pStyle w:val="ListBullet"/>
      </w:pPr>
      <w:r>
        <w:t xml:space="preserve">Third-party accounts follow the same rules as internal ones, including least privilege, multi-factor authentication, and review.</w:t>
      </w:r>
    </w:p>
    <w:p>
      <w:pPr>
        <w:pStyle w:val="Heading2"/>
      </w:pPr>
      <w:r>
        <w:t xml:space="preserve">3.8 Service Accounts, Keys, and Secrets</w:t>
      </w:r>
    </w:p>
    <w:p>
      <w:pPr>
        <w:pStyle w:val="ListBullet"/>
      </w:pPr>
      <w:r>
        <w:t xml:space="preserve">Every service account has a named owner, the minimum rights its function needs, and no interactive sign-in unless its function requires it.</w:t>
      </w:r>
    </w:p>
    <w:p>
      <w:pPr>
        <w:pStyle w:val="ListBullet"/>
      </w:pPr>
      <w:r>
        <w:t>API keys, tokens, and other machine credentials are stored in approved secret storage, never embedded in code, repositories, or documents. Each is given an expiry or maximum lifetime, and is rotated when someone with access to it leaves or when compromise is suspected. They are inventoried and reviewed at least annually, and at least quarterly where they carry privileged rights (see Section 3.6).</w:t>
      </w:r>
    </w:p>
    <w:p>
      <w:pPr>
        <w:pStyle w:val="Heading2"/>
      </w:pPr>
      <w:r>
        <w:t xml:space="preserve">3.9 Third-Party Integrations and Tokens</w:t>
      </w:r>
    </w:p>
    <w:p>
      <w:r>
        <w:t xml:space="preserve">A third-party integration is an outside app or automated tool connected to the organization's systems through OAuth or a similar grant, so it can act on the organization's behalf, often without a person signing in each time. This includes AI agents and automation that act using a person's delegated access or live session, as well as apps that hold their own token. The token an integration holds is trusted on its own, so multi-factor authentication does not protect it; these rules harden the integration itself.</w:t>
      </w:r>
    </w:p>
    <w:p>
      <w:pPr>
        <w:pStyle w:val="ListBullet"/>
      </w:pPr>
      <w:r>
        <w:t>Only apps the organization has approved may connect, through the documented request and approval of Section 3.2; no one approves an integration they requested. Where the platform allows, self-service or drive-by connections (a user connecting an app on their own, with no review) are blocked.</w:t>
      </w:r>
    </w:p>
    <w:p>
      <w:pPr>
        <w:pStyle w:val="ListBullet"/>
      </w:pPr>
      <w:r>
        <w:t>Each integration is granted the least privilege its work needs. Broad or high-risk permissions are granted only under a documented exception (see Section 6.0), with compensating controls from this section, such as network restriction, short-lived or sender-constrained tokens, and a shorter review interval. (Permissions, called scopes on most platforms, are what a token lets the app do; the Information Security Lead's standards designate the high-risk ones, for example organization-wide read or write of mail or files.) Where the platform allows, high-risk permissions are also blocked across the organization, so no app can request them.</w:t>
      </w:r>
    </w:p>
    <w:p>
      <w:pPr>
        <w:pStyle w:val="ListBullet"/>
      </w:pPr>
      <w:r>
        <w:t>Where the platform supports it, integrations are restricted to the vendor's known network locations, issued short-lived tokens that rotate, and given a session timeout, so a stolen token is limited in where and for how long it works.</w:t>
      </w:r>
    </w:p>
    <w:p>
      <w:pPr>
        <w:pStyle w:val="ListBullet"/>
      </w:pPr>
      <w:r>
        <w:t xml:space="preserve">Where the platform supports it, tokens are sender-constrained: bound to one client, using DPoP (demonstrating proof of possession) or mutual TLS, so a stolen copy is useless to anyone else. This is the strongest control here; prefer it for the most sensitive integrations.</w:t>
      </w:r>
    </w:p>
    <w:p>
      <w:pPr>
        <w:pStyle w:val="ListBullet"/>
      </w:pPr>
      <w:r>
        <w:t>Where a platform cannot enforce one of these controls (blocking self-service connections, limiting or blocking permissions, network restriction, short-lived or sender-constrained tokens, or session timeouts), the gap is recorded and handled through the exception process (see Section 6.0), with a compensating control such as admin-only consent or a shorter review interval.</w:t>
      </w:r>
    </w:p>
    <w:p>
      <w:pPr>
        <w:pStyle w:val="ListBullet"/>
      </w:pPr>
      <w:r>
        <w:t xml:space="preserve">Every integration is inventoried with a named owner, a business reason, and its granted scopes, and treated as a machine identity subject to this policy, like a service account (see Section 3.8).</w:t>
      </w:r>
    </w:p>
    <w:p>
      <w:pPr>
        <w:pStyle w:val="ListBullet"/>
      </w:pPr>
      <w:r>
        <w:t>Security operations reviews every integration against the inventory, however it was established (user-consented or admin-set-up), and checks that its scopes still match what is recorded. Reviews happen at least annually, and at least quarterly where an integration can read Confidential information or carries privileged rights. An integration is revoked if it is not in the inventory, is no longer needed, the app behind it or its permissions changed without approval, or shows anomalous activity (unusual volume, timing, or location).</w:t>
      </w:r>
    </w:p>
    <w:p>
      <w:pPr>
        <w:pStyle w:val="ListBullet"/>
      </w:pPr>
      <w:r>
        <w:t>An integration with no activity for 90 days is disabled and its access revoked; the dormancy rule's exemption for service accounts (Section 3.1) does not extend to integrations.</w:t>
      </w:r>
    </w:p>
    <w:p>
      <w:pPr>
        <w:pStyle w:val="ListBullet"/>
      </w:pPr>
      <w:r>
        <w:t xml:space="preserve">The activity of connected apps is monitored in addition to people's sign-ins, so a stolen token used to export data in bulk can be caught. This monitoring follows the notice and legal limits set in the Acceptable Use Policy, as Section 3.5 also requires.</w:t>
      </w:r>
    </w:p>
    <w:p>
      <w:pPr>
        <w:pStyle w:val="ListBullet"/>
      </w:pPr>
      <w:r>
        <w:t xml:space="preserve">System and data owners keep secrets (API keys, tokens, passwords) out of places an integration could read them, such as records, notes, or support cases; where a Data Handling Policy exists, it governs how information is stored.</w:t>
      </w:r>
    </w:p>
    <w:p>
      <w:pPr>
        <w:pStyle w:val="ListBullet"/>
      </w:pPr>
      <w:r>
        <w:t>The provider behind an integration is subject to the organization's vendor assessment rules (the Vendor Risk Management Policy, under the Information Security Policy).</w:t>
      </w:r>
    </w:p>
    <w:p>
      <w:pPr>
        <w:pStyle w:val="Heading2"/>
      </w:pPr>
      <w:r>
        <w:t xml:space="preserve">3.10 Sessions and Lockout</w:t>
      </w:r>
    </w:p>
    <w:p>
      <w:pPr>
        <w:pStyle w:val="ListBullet"/>
      </w:pPr>
      <w:r>
        <w:t>Where the platform supports one, system owners set and record an inactivity timeout for their systems, appropriate to each system's sensitivity. When the timeout expires, sessions end or lock.</w:t>
      </w:r>
    </w:p>
    <w:p>
      <w:pPr>
        <w:pStyle w:val="ListBullet"/>
      </w:pPr>
      <w:r>
        <w:t xml:space="preserve">Repeated failed sign-in attempts trigger rate limiting (throttling or lockout), per Section 3.3.</w:t>
      </w:r>
    </w:p>
    <w:p>
      <w:pPr>
        <w:pStyle w:val="ListBullet"/>
      </w:pPr>
      <w:r>
        <w:t xml:space="preserve">System owners designate the sensitive operations on their systems. Where the system has these operations, the list includes at minimum: changes to payment details, changes to recovery email or phone, credential and multi-factor changes, and bulk data export. Where systems support it, these operations require fresh authentication (signing in again at that moment, even during an active session). Enrolling a new multi-factor authenticator alerts the account holder and, where the system supports it, security operations.</w:t>
      </w:r>
    </w:p>
    <w:p>
      <w:pPr>
        <w:pStyle w:val="Heading2"/>
      </w:pPr>
      <w:r>
        <w:t xml:space="preserve">3.11 Physical Access Rights</w:t>
      </w:r>
    </w:p>
    <w:p>
      <w:pPr>
        <w:pStyle w:val="ListBullet"/>
      </w:pPr>
      <w:r>
        <w:t>Badges, codes, and keys are issued only on documented approval from the Information Security Lead or the facility owner (the person the organization makes accountable for the site). When access is no longer needed or the holder leaves, the holder's credentials are revoked immediately and any shared door codes for areas they could enter are changed. Their keys are recovered, or the affected locks are rekeyed.</w:t>
      </w:r>
    </w:p>
    <w:p>
      <w:pPr>
        <w:pStyle w:val="ListBullet"/>
      </w:pPr>
      <w:r>
        <w:t xml:space="preserve">Physical access rights are reviewed at least annually by the facility owner, alongside the facility protections in the Information Security Policy, and the review is recorded.</w:t>
      </w:r>
    </w:p>
    <w:p>
      <w:pPr>
        <w:pStyle w:val="ListBullet"/>
      </w:pPr>
      <w:r>
        <w:t xml:space="preserve">Everyone's conduct at secured doors, with visitors, and in restricted areas is governed by the Acceptable Use Policy.</w:t>
      </w:r>
    </w:p>
    <w:p>
      <w:pPr>
        <w:pStyle w:val="Heading1"/>
      </w:pPr>
      <w:r>
        <w:t xml:space="preserve">4.0 Roles and Responsibilities</w:t>
      </w:r>
    </w:p>
    <w:p>
      <w:pPr>
        <w:pStyle w:val="ListBullet"/>
      </w:pPr>
      <w:r>
        <w:t xml:space="preserve">The Information Security Lead owns this policy, keeps it current, sets the technical standards that implement it (including designating the approved secret storage, remote access methods, and integrations), and answers questions about what it requires.</w:t>
      </w:r>
    </w:p>
    <w:p>
      <w:pPr>
        <w:pStyle w:val="ListBullet"/>
      </w:pPr>
      <w:r>
        <w:t xml:space="preserve">System and data owners approve access to what they own, perform the reviews in Section 3.6, and are accountable for the access that exists to their systems.</w:t>
      </w:r>
    </w:p>
    <w:p>
      <w:pPr>
        <w:pStyle w:val="ListBullet"/>
      </w:pPr>
      <w:r>
        <w:t xml:space="preserve">Managers request access for their people, confirm business need, and start the access changes for joiners, movers, and leavers without delay.</w:t>
      </w:r>
    </w:p>
    <w:p>
      <w:pPr>
        <w:pStyle w:val="ListBullet"/>
      </w:pPr>
      <w:r>
        <w:t>Security operations, with IT, provisions and removes access, maintains the account, service-account, and integration inventories and the list of internet-reachable services, runs the dormancy and integration reviews, implements the technical controls this policy requires, and monitors access and connected-app logs.</w:t>
      </w:r>
    </w:p>
    <w:p>
      <w:pPr>
        <w:pStyle w:val="ListBullet"/>
      </w:pPr>
      <w:r>
        <w:t xml:space="preserve">Human Resources notifies security operations of joiners, movers, and leavers so access changes happen on time, and confirms employee departures for the verification in Section 3.6 (its wider duties are set in the Information Security Policy).</w:t>
      </w:r>
    </w:p>
    <w:p>
      <w:pPr>
        <w:pStyle w:val="ListBullet"/>
      </w:pPr>
      <w:r>
        <w:t xml:space="preserve">Everyone with an account follows the personal credential duties in the Acceptable Use Policy.</w:t>
      </w:r>
    </w:p>
    <w:p>
      <w:pPr>
        <w:pStyle w:val="Heading1"/>
      </w:pPr>
      <w:r>
        <w:t xml:space="preserve">5.0 Policy Review and Updates</w:t>
      </w:r>
    </w:p>
    <w:p>
      <w:r>
        <w:t xml:space="preserve">This policy shall be reviewed at least annually, and sooner when the business, technology, regulations, or the threat environment change significantly. The Information Security Lead starts the review, and Executive Management approves changes before they take effect, following the review process in the Information Security Policy.</w:t>
      </w:r>
    </w:p>
    <w:p>
      <w:pPr>
        <w:pStyle w:val="Heading1"/>
      </w:pPr>
      <w:r>
        <w:t xml:space="preserve">6.0 Exceptions</w:t>
      </w:r>
    </w:p>
    <w:p>
      <w:r>
        <w:t xml:space="preserve">Any planned deviation from this policy requires a documented exception, requested and approved through the exception process in the Information Security Policy. Submit the request in writing to the Information Security Lead. Describe the business reason, what the exception covers, how long it is needed, and any temporary safeguards that reduce the risk. Exceptions expire and are reviewed under that process.</w:t>
      </w:r>
    </w:p>
    <w:p>
      <w:r>
        <w:t xml:space="preserve">An exception documents a temporary gap that stays subject to expiry and review. A gap that is discovered rather than planned is reported and handled first (see Section 7.0); if it must stay open afterward, an exception is requested promptly. A deviation someone chose to make without approval, or a discovered gap kept outside this process, is a violation (see Section 8.0).</w:t>
      </w:r>
    </w:p>
    <w:p>
      <w:pPr>
        <w:pStyle w:val="Heading1"/>
      </w:pPr>
      <w:r>
        <w:t xml:space="preserve">7.0 Reporting Security Incidents and Concerns</w:t>
      </w:r>
    </w:p>
    <w:p>
      <w:r>
        <w:t>Report suspected unauthorized access, compromised credentials, and other security concerns promptly. Use the incident reporting contacts kept in the Information Security Policy (its Appendix 1). A report to any manager counts; the manager passes it to those contacts. Failing to report a security incident you know about or reasonably suspect is itself a policy violation (see Section 8.0).</w:t>
      </w:r>
    </w:p>
    <w:p>
      <w:r>
        <w:rPr>
          <w:highlight w:val="yellow"/>
        </w:rPr>
        <w:t xml:space="preserve">[No one is punished for the act of making a good-faith report; the report itself is never the offense. An honest mistake reported promptly is treated more leniently than one concealed, and a late report is treated more leniently than none. Any discipline for the underlying conduct follows Section 8.0.]</w:t>
      </w:r>
    </w:p>
    <w:p>
      <w:pPr>
        <w:pStyle w:val="Heading1"/>
      </w:pPr>
      <w:r>
        <w:t xml:space="preserve">8.0 Violations and Disciplinary Action</w:t>
      </w:r>
    </w:p>
    <w:p>
      <w:r>
        <w:t xml:space="preserve">Anyone who violates this policy can face disciplinary action, up to and including termination of employment or contract, and legal action where applicable. The response to a violation will depend on its severity, its impact on the organization's security, and any legal or regulatory requirements.</w:t>
      </w:r>
    </w:p>
    <w:p>
      <w:pPr>
        <w:pStyle w:val="Heading1"/>
      </w:pPr>
      <w:r>
        <w:t xml:space="preserve">9.0 Related Policies and Standards</w:t>
      </w:r>
    </w:p>
    <w:p>
      <w:r>
        <w:t xml:space="preserve">This policy is a supporting policy of the Information Security Policy, the top-level document of the organization's information security policy set. This policy may set stricter rules; a stricter rule is not a conflict. If this policy contradicts the Information Security Policy, the Information Security Policy prevails.</w:t>
      </w:r>
    </w:p>
    <w:p>
      <w:r>
        <w:t xml:space="preserve">It works alongside these policies:</w:t>
      </w:r>
    </w:p>
    <w:p>
      <w:pPr>
        <w:pStyle w:val="ListBullet"/>
      </w:pPr>
      <w:r>
        <w:t xml:space="preserve">The Acceptable Use Policy: the personal duties of account holders that this policy depends on for user conduct.</w:t>
      </w:r>
    </w:p>
    <w:p>
      <w:pPr>
        <w:pStyle w:val="ListBullet"/>
      </w:pPr>
      <w:r>
        <w:t xml:space="preserve">The Data Handling Policy: the classifications this policy restricts access by.</w:t>
      </w:r>
    </w:p>
    <w:p>
      <w:pPr>
        <w:pStyle w:val="ListBullet"/>
      </w:pPr>
      <w:r>
        <w:t xml:space="preserve">The Incident Response Policy: what happens when credentials are compromised.</w:t>
      </w:r>
    </w:p>
    <w:p>
      <w:pPr>
        <w:pStyle w:val="ListBullet"/>
      </w:pPr>
      <w:r>
        <w:t xml:space="preserve">The Remote Work &amp; Mobile Device Policy: the device and workplace requirements remote access relies on; the sign-in rules for that access stay in this policy (Section 3.7).</w:t>
      </w:r>
    </w:p>
    <w:p>
      <w:pPr>
        <w:pStyle w:val="ListBullet"/>
      </w:pPr>
      <w:r>
        <w:t xml:space="preserve">The AI Acceptable Use Policy: which AI tools may be adopted and used; the connection of an approved AI tool or agent to organization systems is governed by this policy's Section 3.9.</w:t>
      </w:r>
    </w:p>
    <w:p>
      <w:pPr>
        <w:pStyle w:val="ListBullet"/>
      </w:pPr>
      <w:r>
        <w:t xml:space="preserve">The Logging and Monitoring Policy: the recording and watching of the sign-in and access events this policy generates.</w:t>
      </w:r>
    </w:p>
    <w:p>
      <w:pPr>
        <w:pStyle w:val="ListBullet"/>
      </w:pPr>
      <w:r>
        <w:t xml:space="preserve">The Change Management Policy: changes to the systems that grant and manage access follow its change process; access grants and removals stay under this policy.</w:t>
      </w:r>
    </w:p>
    <w:p>
      <w:pPr>
        <w:pStyle w:val="ListBullet"/>
      </w:pPr>
      <w:r>
        <w:t xml:space="preserve">The Encryption Policy: the cryptographic methods behind the passwords and secrets this policy governs.</w:t>
      </w:r>
    </w:p>
    <w:p>
      <w:pPr>
        <w:pStyle w:val="ListBullet"/>
      </w:pPr>
      <w:r>
        <w:t xml:space="preserve">The Secure Development Policy: it puts access to code, development tools, and pipelines under this policy, and treats write access to shipping code like privileged access.</w:t>
      </w:r>
    </w:p>
    <w:p>
      <w:pPr>
        <w:pStyle w:val="ListBullet"/>
      </w:pPr>
      <w:r>
        <w:t xml:space="preserve">The Vendor Risk Management Policy: the assessment of the providers behind third-party access and integrations.</w:t>
      </w:r>
    </w:p>
    <w:p>
      <w:pPr>
        <w:pStyle w:val="ListBullet"/>
      </w:pPr>
      <w:r>
        <w:t xml:space="preserve">The Physical and Environmental Security Policy: the entry controls through which the physical access rights this policy administers operate.</w:t>
      </w:r>
    </w:p>
    <w:p>
      <w:r>
        <w:t xml:space="preserve">Where any of these does not exist yet, treat it as a roadmap item; the organization-side rules in this policy apply on their own regardless.</w:t>
      </w:r>
    </w:p>
    <w:p>
      <w:r>
        <w:t>At a policy level, these rules put into practice the access and identity controls of ISO/IEC 27001:2022 Annex A: controls 5.15 to 5.18 (access control, identity management, authentication information, and access rights), controls 8.2, 8.3, and 8.5 (privileged access rights, information access restriction, and secure authentication), and, for Section 3.11, control 7.2 (physical entry). They support mainly the Protect function of the NIST Cybersecurity Framework 2.0, and, through the monitoring and reporting these rules require, its Detect and Respond functions. The password rules in Section 3.3 meet or exceed NIST SP 800-63B-4.</w:t>
      </w:r>
    </w:p>
    <w:p>
      <w:pPr>
        <w:pStyle w:val="Heading1"/>
        <w:pageBreakBefore/>
      </w:pPr>
      <w:r>
        <w:t xml:space="preserve">Appendix 1: Access Request Record</w:t>
      </w:r>
    </w:p>
    <w:p>
      <w:r>
        <w:t xml:space="preserve">Where the organization has no ticketing or identity system that records access requests, use this record; keep completed records as Section 3.2 requires. Duplicate this page per request, or rebuild the same fields in your system.</w:t>
      </w:r>
    </w:p>
    <w:tbl>
      <w:tblPr>
        <w:tblStyle w:val="TableGrid"/>
        <w:tblW w:type="auto" w:w="0"/>
        <w:tblLook w:firstColumn="1" w:firstRow="1" w:lastColumn="0" w:lastRow="0" w:noHBand="0" w:noVBand="1" w:val="04A0"/>
      </w:tblPr>
      <w:tblGrid>
        <w:gridCol w:w="5400"/>
        <w:gridCol w:w="5400"/>
      </w:tblGrid>
      <w:tr>
        <w:tc>
          <w:tcPr>
            <w:tcW w:type="dxa" w:w="5400"/>
          </w:tcPr>
          <w:p>
            <w:r>
              <w:rPr>
                <w:b/>
              </w:rPr>
              <w:t xml:space="preserve">Requester (name and role)</w:t>
            </w:r>
          </w:p>
        </w:tc>
        <w:tc>
          <w:tcPr>
            <w:tcW w:type="dxa" w:w="5400"/>
          </w:tcPr>
          <w:p/>
        </w:tc>
      </w:tr>
      <w:tr>
        <w:tc>
          <w:tcPr>
            <w:tcW w:type="dxa" w:w="5400"/>
          </w:tcPr>
          <w:p>
            <w:r>
              <w:rPr>
                <w:b/>
              </w:rPr>
              <w:t xml:space="preserve">System or data requested</w:t>
            </w:r>
          </w:p>
        </w:tc>
        <w:tc>
          <w:tcPr>
            <w:tcW w:type="dxa" w:w="5400"/>
          </w:tcPr>
          <w:p/>
        </w:tc>
      </w:tr>
      <w:tr>
        <w:tc>
          <w:tcPr>
            <w:tcW w:type="dxa" w:w="5400"/>
          </w:tcPr>
          <w:p>
            <w:r>
              <w:rPr>
                <w:b/>
              </w:rPr>
              <w:t xml:space="preserve">Access requested (role or permissions)</w:t>
            </w:r>
          </w:p>
        </w:tc>
        <w:tc>
          <w:tcPr>
            <w:tcW w:type="dxa" w:w="5400"/>
          </w:tcPr>
          <w:p/>
        </w:tc>
      </w:tr>
      <w:tr>
        <w:tc>
          <w:tcPr>
            <w:tcW w:type="dxa" w:w="5400"/>
          </w:tcPr>
          <w:p>
            <w:r>
              <w:rPr>
                <w:b/>
              </w:rPr>
              <w:t xml:space="preserve">Business reason</w:t>
            </w:r>
          </w:p>
        </w:tc>
        <w:tc>
          <w:tcPr>
            <w:tcW w:type="dxa" w:w="5400"/>
          </w:tcPr>
          <w:p/>
        </w:tc>
      </w:tr>
      <w:tr>
        <w:tc>
          <w:tcPr>
            <w:tcW w:type="dxa" w:w="5400"/>
          </w:tcPr>
          <w:p>
            <w:r>
              <w:rPr>
                <w:b/>
              </w:rPr>
              <w:t xml:space="preserve">End date, if temporary</w:t>
            </w:r>
          </w:p>
        </w:tc>
        <w:tc>
          <w:tcPr>
            <w:tcW w:type="dxa" w:w="5400"/>
          </w:tcPr>
          <w:p/>
        </w:tc>
      </w:tr>
      <w:tr>
        <w:tc>
          <w:tcPr>
            <w:tcW w:type="dxa" w:w="5400"/>
          </w:tcPr>
          <w:p>
            <w:r>
              <w:rPr>
                <w:b/>
              </w:rPr>
              <w:t xml:space="preserve">Approved by (owner, name and date)</w:t>
            </w:r>
          </w:p>
        </w:tc>
        <w:tc>
          <w:tcPr>
            <w:tcW w:type="dxa" w:w="5400"/>
          </w:tcPr>
          <w:p/>
        </w:tc>
      </w:tr>
      <w:tr>
        <w:tc>
          <w:tcPr>
            <w:tcW w:type="dxa" w:w="5400"/>
          </w:tcPr>
          <w:p>
            <w:r>
              <w:rPr>
                <w:b/>
              </w:rPr>
              <w:t xml:space="preserve">Provisioned by (name and date)</w:t>
            </w:r>
          </w:p>
        </w:tc>
        <w:tc>
          <w:tcPr>
            <w:tcW w:type="dxa" w:w="5400"/>
          </w:tcPr>
          <w:p/>
        </w:tc>
      </w:tr>
      <w:tr>
        <w:tc>
          <w:tcPr>
            <w:tcW w:type="dxa" w:w="5400"/>
          </w:tcPr>
          <w:p>
            <w:r>
              <w:rPr>
                <w:b/>
              </w:rPr>
              <w:t xml:space="preserve">Changes to this access (what and when)</w:t>
            </w:r>
          </w:p>
        </w:tc>
        <w:tc>
          <w:tcPr>
            <w:tcW w:type="dxa" w:w="5400"/>
          </w:tcPr>
          <w:p/>
        </w:tc>
      </w:tr>
      <w:tr>
        <w:tc>
          <w:tcPr>
            <w:tcW w:type="dxa" w:w="5400"/>
          </w:tcPr>
          <w:p>
            <w:r>
              <w:rPr>
                <w:b/>
              </w:rPr>
              <w:t xml:space="preserve">Removed by (name and date)</w:t>
            </w:r>
          </w:p>
        </w:tc>
        <w:tc>
          <w:tcPr>
            <w:tcW w:type="dxa" w:w="5400"/>
          </w:tcPr>
          <w:p/>
        </w:tc>
      </w:tr>
      <w:tr>
        <w:tc>
          <w:tcPr>
            <w:tcW w:type="dxa" w:w="5400"/>
          </w:tcPr>
          <w:p>
            <w:r>
              <w:rPr>
                <w:b/>
              </w:rPr>
              <w:t xml:space="preserve">Next review due</w:t>
            </w:r>
          </w:p>
        </w:tc>
        <w:tc>
          <w:tcPr>
            <w:tcW w:type="dxa" w:w="5400"/>
          </w:tcPr>
          <w:p/>
        </w:tc>
      </w:tr>
    </w:tbl>
    <w:p>
      <w:r>
        <w:t xml:space="preserve">Access reviews (Section 3.6) are recorded here or in the system used for them:</w:t>
      </w:r>
    </w:p>
    <w:tbl>
      <w:tblPr>
        <w:tblStyle w:val="TableGrid"/>
        <w:tblW w:type="auto" w:w="0"/>
        <w:tblLook w:firstColumn="1" w:firstRow="1" w:lastColumn="0" w:lastRow="0" w:noHBand="0" w:noVBand="1" w:val="04A0"/>
      </w:tblPr>
      <w:tblGrid>
        <w:gridCol w:w="5400"/>
        <w:gridCol w:w="5400"/>
      </w:tblGrid>
      <w:tr>
        <w:tc>
          <w:tcPr>
            <w:tcW w:type="dxa" w:w="5400"/>
          </w:tcPr>
          <w:p>
            <w:r>
              <w:rPr>
                <w:b/>
              </w:rPr>
              <w:t xml:space="preserve">Review date and reviewer</w:t>
            </w:r>
          </w:p>
        </w:tc>
        <w:tc>
          <w:tcPr>
            <w:tcW w:type="dxa" w:w="5400"/>
          </w:tcPr>
          <w:p/>
        </w:tc>
      </w:tr>
      <w:tr>
        <w:tc>
          <w:tcPr>
            <w:tcW w:type="dxa" w:w="5400"/>
          </w:tcPr>
          <w:p>
            <w:r>
              <w:rPr>
                <w:b/>
              </w:rPr>
              <w:t xml:space="preserve">Scope (system, or privileged access)</w:t>
            </w:r>
          </w:p>
        </w:tc>
        <w:tc>
          <w:tcPr>
            <w:tcW w:type="dxa" w:w="5400"/>
          </w:tcPr>
          <w:p/>
        </w:tc>
      </w:tr>
      <w:tr>
        <w:tc>
          <w:tcPr>
            <w:tcW w:type="dxa" w:w="5400"/>
          </w:tcPr>
          <w:p>
            <w:r>
              <w:rPr>
                <w:b/>
              </w:rPr>
              <w:t xml:space="preserve">Rights still needed? (confirmed or changed)</w:t>
            </w:r>
          </w:p>
        </w:tc>
        <w:tc>
          <w:tcPr>
            <w:tcW w:type="dxa" w:w="5400"/>
          </w:tcPr>
          <w:p/>
        </w:tc>
      </w:tr>
      <w:tr>
        <w:tc>
          <w:tcPr>
            <w:tcW w:type="dxa" w:w="5400"/>
          </w:tcPr>
          <w:p>
            <w:r>
              <w:rPr>
                <w:b/>
              </w:rPr>
              <w:t xml:space="preserve">Findings</w:t>
            </w:r>
          </w:p>
        </w:tc>
        <w:tc>
          <w:tcPr>
            <w:tcW w:type="dxa" w:w="5400"/>
          </w:tcPr>
          <w:p/>
        </w:tc>
      </w:tr>
      <w:tr>
        <w:tc>
          <w:tcPr>
            <w:tcW w:type="dxa" w:w="5400"/>
          </w:tcPr>
          <w:p>
            <w:r>
              <w:rPr>
                <w:b/>
              </w:rPr>
              <w:t xml:space="preserve">Fixes made (and date)</w:t>
            </w:r>
          </w:p>
        </w:tc>
        <w:tc>
          <w:tcPr>
            <w:tcW w:type="dxa" w:w="5400"/>
          </w:tcPr>
          <w:p/>
        </w:tc>
      </w:tr>
    </w:tbl>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8"/>
      </w:rPr>
      <w:t xml:space="preserve">Access Control Policy | Page </w:t>
    </w:r>
    <w:r>
      <w:rPr>
        <w:sz w:val="18"/>
      </w:rPr>
      <w:fldChar w:fldCharType="begin"/>
      <w:instrText xml:space="preserve">PAGE</w:instrText>
      <w:fldChar w:fldCharType="end"/>
    </w:r>
    <w:r>
      <w:rPr>
        <w:sz w:val="18"/>
      </w:rPr>
      <w:t xml:space="preserve"> of </w:t>
    </w:r>
    <w:r>
      <w:rPr>
        <w:sz w:val="18"/>
      </w:rPr>
      <w:fldChar w:fldCharType="begin"/>
      <w:instrText xml:space="preserve">NUMPAGES</w:instrText>
      <w:fldChar w:fldCharType="end"/>
    </w:r>
    <w:r>
      <w:rPr>
        <w:sz w:val="18"/>
      </w:rPr>
      <w:t xml:space="preserve"> | anobytes.com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720"/>
        </w:tabs>
        <w:ind w:left="72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0" w:lineRule="auto"/>
    </w:pPr>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Arial" w:hAnsi="Arial" w:cs="Arial"/>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eastAsiaTheme="majorEastAsia" w:ascii="Arial" w:hAnsi="Arial" w:cs="Arial"/>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eastAsiaTheme="majorEastAsia" w:ascii="Arial" w:hAnsi="Arial" w:cs="Arial"/>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eastAsiaTheme="majorEastAsia" w:ascii="Arial" w:hAnsi="Arial" w:cs="Arial"/>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contextualSpacing/>
    </w:pPr>
    <w:rPr>
      <w:rFonts w:ascii="Arial" w:hAnsi="Arial" w:cs="Arial"/>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4204</Words>
  <Characters>23605</Characters>
  <DocSecurity>0</DocSecurity>
  <Lines>245</Lines>
  <Paragraphs>138</Paragraphs>
  <ScaleCrop>false</ScaleCrop>
  <HeadingPairs>
    <vt:vector size="2" baseType="variant">
      <vt:variant>
        <vt:lpstr>Title</vt:lpstr>
      </vt:variant>
      <vt:variant>
        <vt:i4>1</vt:i4>
      </vt:variant>
    </vt:vector>
  </HeadingPairs>
  <TitlesOfParts>
    <vt:vector size="1" baseType="lpstr">
      <vt:lpstr>Access Control Policy</vt:lpstr>
    </vt:vector>
  </TitlesOfParts>
  <Manager/>
  <Company>anoBytes Technology Solutions LLC</Company>
  <LinksUpToDate>false</LinksUpToDate>
  <CharactersWithSpaces>27824</CharactersWithSpaces>
  <SharedDoc>false</SharedDoc>
  <HyperlinkBase/>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dc:title>Access Control Policy</dc:title>
  <dc:subject>Access control policy template</dc:subject>
  <dc:creator>Nelson Pereira, anoBytes Technology Solutions LLC</dc:creator>
  <cp:keywords>least privilege, principle of least privilege, mfa, multi-factor authentication, passwords, passkeys, sso, oauth, api keys, service accounts, break-glass, privileged access, access reviews, joiners, movers, leavers, third-party access, failed sign-in, lockout, shared and generic accounts, iam, identity and access management</cp:keywords>
  <dc:description>The access control companion to our security policy set: joiners, movers, and leavers, least privilege, multi-factor authentication, privileged access, and app integrations, with password rules that meet or exceed NIST SP 800-63B-4. Free to adapt for your organization.</dc:description>
  <cp:lastModifiedBy/>
  <cp:revision>1</cp:revision>
  <dcterms:created xsi:type="dcterms:W3CDTF">2026-07-14T00:00:00Z</dcterms:created>
  <dcterms:modified xsi:type="dcterms:W3CDTF">2026-08-06T00:00:00Z</dcterms:modified>
  <cp:category>Template</cp:category>
</cp:coreProperties>
</file>