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AI Acceptable Use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AI Acceptable Use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the acceptable use of artificial intelligence (AI) tools at </w:t>
      </w:r>
      <w:r>
        <w:rPr>
          <w:highlight w:val="yellow"/>
        </w:rPr>
        <w:t xml:space="preserve">[Company Name]</w:t>
      </w:r>
      <w:r>
        <w:t xml:space="preserve"> ("the organization"), with a focus on generative AI: the assistants that create text, code, images, audio, or video from a prompt. Used carelessly, these tools can leak the organization's data, produce confident but wrong results, infringe someone's rights, or make decisions that harm people. This policy sets the rules that keep AI use safe and lawful: which tools may be used, for what, with what data, and the checks expected of everyone who uses them.</w:t>
      </w:r>
    </w:p>
    <w:p>
      <w:r>
        <w:rPr/>
        <w:t>This policy is a supporting policy of the organization's Information Security Policy. It is the AI companion to the Acceptable Use Policy: that policy sets the general rules for the systems, data, and online services people use; this one adds the duties that come with AI (see Section 9.0). It aligns with the NIST Artificial Intelligence Risk Management Framework (AI RMF 1.0) and its Generative AI Profile (NIST AI 600-1); the alignment is for structure and good practice, not a certification claim, and Appendix 2 maps it. This is a template to adapt, not legal advice; have qualified legal counsel review it before adopting it (see Section 3.11).</w:t>
      </w:r>
    </w:p>
    <w:p>
      <w:pPr>
        <w:pStyle w:val="Heading1"/>
      </w:pPr>
      <w:r>
        <w:t xml:space="preserve">2.0 Scope</w:t>
      </w:r>
    </w:p>
    <w:p>
      <w:r>
        <w:t xml:space="preserve">This policy applies to everyone who uses AI tools for the organization's work: employees, contractors, and any other authorized users, on any device, wherever they work. It covers every AI tool used for organization business, whether the organization has approved it or not, and whether it is a standalone service (a chatbot or assistant) or an AI feature built into other software. It covers the organization's data and accounts used with those tools.</w:t>
      </w:r>
    </w:p>
    <w:p>
      <w:r>
        <w:rPr/>
        <w:t>This policy governs the day-to-day use of AI tools. On its own, it does not cover building, training, fine-tuning, or deploying AI systems as products or services. An organization that does those things applies a fuller AI risk process (the Map, Measure, and Manage activities of the NIST AI RMF) alongside the Secure Development Policy. On an approved personal device, this policy reaches the organization's data, accounts, and business use, not personal content, on the same terms as the Acceptable Use Policy.</w:t>
      </w:r>
    </w:p>
    <w:p>
      <w:pPr>
        <w:pStyle w:val="Heading1"/>
      </w:pPr>
      <w:r>
        <w:t xml:space="preserve">3.0 Policy Statements</w:t>
      </w:r>
    </w:p>
    <w:p>
      <w:r>
        <w:t xml:space="preserve">Throughout this policy, a statement of what the organization or its people do ("is reviewed",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Definitions</w:t>
      </w:r>
    </w:p>
    <w:p>
      <w:pPr>
        <w:pStyle w:val="ListBullet"/>
      </w:pPr>
      <w:r>
        <w:t xml:space="preserve">Artificial intelligence (AI): software that performs tasks normally needing human intelligence, such as understanding language, recognizing patterns, or generating content.</w:t>
      </w:r>
    </w:p>
    <w:p>
      <w:pPr>
        <w:pStyle w:val="ListBullet"/>
      </w:pPr>
      <w:r>
        <w:t xml:space="preserve">Generative AI (GenAI): AI that creates new content (text, code, images, audio, or video) in response to a prompt. A large language model (LLM) assistant, such as a chatbot or a coding or writing assistant, is the most common form.</w:t>
      </w:r>
    </w:p>
    <w:p>
      <w:pPr>
        <w:pStyle w:val="ListBullet"/>
      </w:pPr>
      <w:r>
        <w:t xml:space="preserve">AI tool: any application or service, standalone or built into other software, that uses AI to do work with the organization's data or on its behalf.</w:t>
      </w:r>
    </w:p>
    <w:p>
      <w:pPr>
        <w:pStyle w:val="ListBullet"/>
      </w:pPr>
      <w:r>
        <w:t xml:space="preserve">Prompt: the instruction or information a person gives an AI tool to get a result.</w:t>
      </w:r>
    </w:p>
    <w:p>
      <w:pPr>
        <w:pStyle w:val="ListBullet"/>
      </w:pPr>
      <w:r>
        <w:t xml:space="preserve">AI output: the content an AI tool produces.</w:t>
      </w:r>
    </w:p>
    <w:p>
      <w:pPr>
        <w:pStyle w:val="ListBullet"/>
      </w:pPr>
      <w:r>
        <w:t xml:space="preserve">Confabulation (also called hallucination): confident, plausible output that is factually wrong or invented. It is common in generative AI, so expect it in any output.</w:t>
      </w:r>
    </w:p>
    <w:p>
      <w:pPr>
        <w:pStyle w:val="ListBullet"/>
      </w:pPr>
      <w:r>
        <w:t xml:space="preserve">Human oversight: a person with the knowledge, information, and authority to review, correct, or overrule what an AI tool produces before it is used or relied on.</w:t>
      </w:r>
    </w:p>
    <w:p>
      <w:pPr>
        <w:pStyle w:val="ListBullet"/>
      </w:pPr>
      <w:r>
        <w:t xml:space="preserve">Consequential use: use of AI that affects a person's rights, safety, money, or legal standing, for example a decision about hiring, dismissal, pay, discipline, credit, benefits, or access to a service.</w:t>
      </w:r>
    </w:p>
    <w:p>
      <w:pPr>
        <w:pStyle w:val="Heading2"/>
      </w:pPr>
      <w:r>
        <w:t xml:space="preserve">3.2 Approved Tools and Shadow AI</w:t>
      </w:r>
    </w:p>
    <w:p>
      <w:pPr>
        <w:pStyle w:val="ListBullet"/>
      </w:pPr>
      <w:r>
        <w:t xml:space="preserve">Use only AI tools the organization has approved for the task and for the sensitivity of the data involved. The organization keeps a list of approved AI tools where everyone covered by this policy can find it; anything not on that list is not approved (Section 4.0 covers the period before the list is first published, and a new AI feature inside approved software follows the rule below).</w:t>
      </w:r>
    </w:p>
    <w:p>
      <w:pPr>
        <w:pStyle w:val="ListBullet"/>
      </w:pPr>
      <w:r>
        <w:rPr/>
        <w:t>Adopting an unapproved AI tool for organization work ("shadow AI") is prohibited. Request approval or an exception instead (Section 6.0). This includes AI browser extensions, meeting note-takers, and AI agents that act on your behalf; granting one access to organization accounts, meetings, or data counts as adopting it. A tool you started using before this policy took effect counts as adopted too: it needs approval to stay in use for organization work; until that decision, Section 4.0's declaration window lets it remain in use while it is on the review list.</w:t>
      </w:r>
    </w:p>
    <w:p>
      <w:pPr>
        <w:pStyle w:val="ListBullet"/>
      </w:pPr>
      <w:r>
        <w:rPr/>
        <w:t>Approval is specific. A tool approved for everyday information is not approved for sensitive information. Approval covers the organization's own accounts on a tool. The same tool reached through a personal account, or any other account outside the organization's control, is not covered.</w:t>
      </w:r>
    </w:p>
    <w:p>
      <w:pPr>
        <w:pStyle w:val="ListBullet"/>
      </w:pPr>
      <w:r>
        <w:rPr/>
        <w:t>An approval can allow a tool to act on its own, such as an AI agent or a meeting note-taker that posts its summaries. When a tool acts on its own, no person reviews each output before use, so the approval must define the replacement checks: what is checked, by whom, and when (Section 3.6). The approval also names the person accountable for what the tool does on its own; what the tool does counts as done by that person (Section 3.9). A tool that records or transcribes a meeting is approved only on the condition that participants are told an AI tool is capturing the meeting, and that consent-to-record laws are checked for the places participants join from.</w:t>
      </w:r>
    </w:p>
    <w:p>
      <w:pPr>
        <w:pStyle w:val="ListBullet"/>
      </w:pPr>
      <w:r>
        <w:t xml:space="preserve">When a new AI feature appears inside software the organization already uses, the feature's use for everyday information may continue under the host software's approval until the organization decides on the feature. Using the feature for sensitive information or for a consequential use (Section 3.1) is not automatically approved; it needs the organization's decision. The Information Security Lead reviews each such feature at least </w:t>
      </w:r>
      <w:r>
        <w:rPr>
          <w:highlight w:val="yellow"/>
        </w:rPr>
        <w:t xml:space="preserve">[quarterly]</w:t>
      </w:r>
      <w:r>
        <w:t xml:space="preserve"> and decides whether it stays available.</w:t>
      </w:r>
    </w:p>
    <w:p>
      <w:pPr>
        <w:pStyle w:val="Heading2"/>
      </w:pPr>
      <w:r>
        <w:t xml:space="preserve">3.3 Permitted Uses</w:t>
      </w:r>
    </w:p>
    <w:p>
      <w:pPr>
        <w:pStyle w:val="ListBullet"/>
      </w:pPr>
      <w:r>
        <w:rPr/>
        <w:t>Within the limits of this policy, AI tools may assist with everyday work such as drafting and editing text, summarizing documents, brainstorming, research starting points, and coding, with data the approval for that tool allows.</w:t>
      </w:r>
    </w:p>
    <w:p>
      <w:pPr>
        <w:pStyle w:val="ListBullet"/>
      </w:pPr>
      <w:r>
        <w:t xml:space="preserve">The person using the tool stays responsible for the result. AI assists; it does not sign off, decide, or take responsibility (see Sections 3.6 and 3.9).</w:t>
      </w:r>
    </w:p>
    <w:p>
      <w:pPr>
        <w:pStyle w:val="ListBullet"/>
      </w:pPr>
      <w:r>
        <w:rPr/>
        <w:t>Consequential uses (Section 3.1) carry the extra duties in Sections 3.6, 3.8, 3.9, and 3.12. They may also need prior approval. The organization sets tiers of permitted use to match its own risk tolerance (how much risk it accepts) and records the limits with the approved-tools list.</w:t>
      </w:r>
    </w:p>
    <w:p>
      <w:pPr>
        <w:pStyle w:val="Heading2"/>
      </w:pPr>
      <w:r>
        <w:t xml:space="preserve">3.4 Prohibited Uses</w:t>
      </w:r>
    </w:p>
    <w:p>
      <w:r>
        <w:t xml:space="preserve">Everyone covered by this policy must not:</w:t>
      </w:r>
    </w:p>
    <w:p>
      <w:pPr>
        <w:pStyle w:val="ListBullet"/>
      </w:pPr>
      <w:r>
        <w:rPr/>
        <w:t>Put organization information into an AI tool in a way that violates Section 3.5, the Acceptable Use Policy, or a current approval (Section 3.5 sets out what may be entered and what must never be).</w:t>
      </w:r>
    </w:p>
    <w:p>
      <w:pPr>
        <w:pStyle w:val="ListBullet"/>
      </w:pPr>
      <w:r>
        <w:t xml:space="preserve">Use AI to make or finalize a consequential decision about a person unless both of these are true: a person exercising human oversight (Section 3.1) makes the final decision, and every safeguard the law requires is in place. Such decisions include hiring, dismissal, pay, discipline, credit, benefits, or access to a service.</w:t>
      </w:r>
    </w:p>
    <w:p>
      <w:pPr>
        <w:pStyle w:val="ListBullet"/>
      </w:pPr>
      <w:r>
        <w:t xml:space="preserve">Use AI to create unlawful, harassing, discriminatory, violent, hateful, or sexually abusive material, content that helps build weapons or cause serious harm, or anything else the Acceptable Use Policy or the law forbids.</w:t>
      </w:r>
    </w:p>
    <w:p>
      <w:pPr>
        <w:pStyle w:val="ListBullet"/>
      </w:pPr>
      <w:r>
        <w:t xml:space="preserve">Use AI to deceive: to impersonate a real person, to present AI-generated media as a genuine recording of real events, to fabricate evidence, or to pass off AI-generated work as original where that matters (see Sections 3.7 and 3.8).</w:t>
      </w:r>
    </w:p>
    <w:p>
      <w:pPr>
        <w:pStyle w:val="ListBullet"/>
      </w:pPr>
      <w:r>
        <w:t xml:space="preserve">Use AI to attack, disrupt, or gain unauthorized access to any system, account, or data, the organization's or anyone else's. This includes using AI to probe systems for weaknesses, find or exploit vulnerabilities, create or improve malicious code, or craft phishing messages or other social-engineering material. The Acceptable Use Policy's rules against misusing systems apply in full when AI does the work. Security work such as penetration testing or tool vetting is permitted only with written authorization from the Information Security Lead.</w:t>
      </w:r>
    </w:p>
    <w:p>
      <w:pPr>
        <w:pStyle w:val="ListBullet"/>
      </w:pPr>
      <w:r>
        <w:t xml:space="preserve">Defeat, disable, get around, or weaken an AI tool's safety controls or the organization's security controls, for example by "jailbreaking" a model to strip its safeguards or by planting hidden instructions in content an AI tool will read (prompt injection). The same written-authorization rule covers legitimate testing of these controls.</w:t>
      </w:r>
    </w:p>
    <w:p>
      <w:pPr>
        <w:pStyle w:val="ListBullet"/>
      </w:pPr>
      <w:r>
        <w:t xml:space="preserve">Rely on AI output as fact, advice, or a decision without the verification Section 3.6 requires.</w:t>
      </w:r>
    </w:p>
    <w:p>
      <w:pPr>
        <w:pStyle w:val="ListBullet"/>
      </w:pPr>
      <w:r>
        <w:t xml:space="preserve">Use AI in a way that infringes someone else's intellectual property or breaks a license, contract, or confidentiality obligation (see Section 3.7).</w:t>
      </w:r>
    </w:p>
    <w:p>
      <w:pPr>
        <w:pStyle w:val="Heading2"/>
      </w:pPr>
      <w:r>
        <w:t xml:space="preserve">3.5 Data Handling for AI Inputs</w:t>
      </w:r>
    </w:p>
    <w:p>
      <w:pPr>
        <w:pStyle w:val="ListBullet"/>
      </w:pPr>
      <w:r>
        <w:rPr/>
        <w:t>Follow the Acceptable Use Policy and the Data Handling Policy for what data may go into an AI tool and at which classification (Section 9.0). The Data Handling Policy is the single source for what each classification means. Until the Data Handling Policy exists, the Acceptable Use Policy's description of sensitive information applies. In short: never enter organization information into an AI tool the organization has not approved for that information's classification, and never enter organization information of any kind into an AI tool through a personal account.</w:t>
      </w:r>
    </w:p>
    <w:p>
      <w:pPr>
        <w:pStyle w:val="ListBullet"/>
      </w:pPr>
      <w:r>
        <w:t xml:space="preserve">Treat anything entered into a public or consumer AI tool as leaving your control. Unless a contract with the provider says otherwise, assume prompts may be stored, read by the provider, or used to improve its models.</w:t>
      </w:r>
    </w:p>
    <w:p>
      <w:pPr>
        <w:pStyle w:val="ListBullet"/>
      </w:pPr>
      <w:r>
        <w:t xml:space="preserve">Never enter passwords, keys, tokens, or other secrets and security details into any AI tool.</w:t>
      </w:r>
    </w:p>
    <w:p>
      <w:pPr>
        <w:pStyle w:val="ListBullet"/>
      </w:pPr>
      <w:r>
        <w:rPr/>
        <w:t>Enter only the data the task needs. When the full data is not required, prefer removing names and other identifying details, or using summarized or made-up examples.</w:t>
      </w:r>
    </w:p>
    <w:p>
      <w:pPr>
        <w:pStyle w:val="Heading2"/>
      </w:pPr>
      <w:r>
        <w:t xml:space="preserve">3.6 Reviewing and Verifying Output</w:t>
      </w:r>
    </w:p>
    <w:p>
      <w:pPr>
        <w:pStyle w:val="ListBullet"/>
      </w:pPr>
      <w:r>
        <w:t xml:space="preserve">Treat AI output as a draft to be checked before you use it. Generative AI produces confident, fluent output that can be wrong or invented (confabulation).</w:t>
      </w:r>
    </w:p>
    <w:p>
      <w:pPr>
        <w:pStyle w:val="ListBullet"/>
      </w:pPr>
      <w:r>
        <w:rPr/>
        <w:t>A person reviews and verifies AI output before it is used, relied on, published, or passed to others to rely on. Where an approval lets a tool act on its own, the replacement checks defined in that approval (Section 3.2) take the place of that review for the actions the approval covers. Every other use of the tool still gets a person's review. Check facts, figures, quotes, citations, calculations, and code against trusted sources, and confirm legal, financial, medical, or safety claims with a qualified person.</w:t>
      </w:r>
    </w:p>
    <w:p>
      <w:pPr>
        <w:pStyle w:val="ListBullet"/>
      </w:pPr>
      <w:r>
        <w:t xml:space="preserve">Whoever uses or forwards AI output is responsible for it, as if they had produced it themselves. The more a result matters, the more checking it needs.</w:t>
      </w:r>
    </w:p>
    <w:p>
      <w:pPr>
        <w:pStyle w:val="Heading2"/>
      </w:pPr>
      <w:r>
        <w:t xml:space="preserve">3.7 Intellectual Property and Attribution</w:t>
      </w:r>
    </w:p>
    <w:p>
      <w:pPr>
        <w:pStyle w:val="ListBullet"/>
      </w:pPr>
      <w:r>
        <w:rPr/>
        <w:t>Do not enter third-party confidential or copyrighted material into an AI tool in a way that breaks a license, a non-disclosure agreement, or a contract. If you are not sure what an agreement allows, ask your manager or the person who owns that agreement before entering the material.</w:t>
      </w:r>
    </w:p>
    <w:p>
      <w:pPr>
        <w:pStyle w:val="ListBullet"/>
      </w:pPr>
      <w:r>
        <w:rPr/>
        <w:t>AI output can resemble existing works. Before using AI output in a way that could infringe copyright, a trademark, or another right, check it for material that looks copied from someone else, such as another person's text, code, images, or branding. If the output contains material you do not have the right to use, get the owner's permission or replace that material before using the output.</w:t>
      </w:r>
    </w:p>
    <w:p>
      <w:pPr>
        <w:pStyle w:val="ListBullet"/>
      </w:pPr>
      <w:r>
        <w:rPr/>
        <w:t>Ownership and licensing of AI output are often unsettled. Follow the organization's guidance and the tool's terms. Where ownership or reuse could later matter, as with client deliverables, published content, or software the organization ships, record meaningful AI assistance in the work's normal record (the commit message, the document itself, or the ticket).</w:t>
      </w:r>
    </w:p>
    <w:p>
      <w:pPr>
        <w:pStyle w:val="ListBullet"/>
      </w:pPr>
      <w:r>
        <w:t xml:space="preserve">Protect the organization's own intellectual property and confidential information by not exposing it to tools that could absorb it (see Section 3.5).</w:t>
      </w:r>
    </w:p>
    <w:p>
      <w:pPr>
        <w:pStyle w:val="Heading2"/>
      </w:pPr>
      <w:r>
        <w:t xml:space="preserve">3.8 Transparency and Disclosure</w:t>
      </w:r>
    </w:p>
    <w:p>
      <w:pPr>
        <w:pStyle w:val="ListBullet"/>
      </w:pPr>
      <w:r>
        <w:rPr/>
        <w:t>Disclose meaningful AI assistance where it matters: in content shown to customers or the public, when it is presented as a person's own work or when the audience would reasonably expect to be told; in work that feeds a decision affecting people; and anywhere a client, a regulator, or the law expects to know whether content was AI-generated.</w:t>
      </w:r>
    </w:p>
    <w:p>
      <w:pPr>
        <w:pStyle w:val="ListBullet"/>
      </w:pPr>
      <w:r>
        <w:t xml:space="preserve">Never present AI-generated media as a genuine recording of real events or real people.</w:t>
      </w:r>
    </w:p>
    <w:p>
      <w:pPr>
        <w:pStyle w:val="ListBullet"/>
      </w:pPr>
      <w:r>
        <w:t xml:space="preserve">Follow any client or contractual terms that require disclosing, limiting, or forbidding AI use on their work.</w:t>
      </w:r>
    </w:p>
    <w:p>
      <w:pPr>
        <w:pStyle w:val="Heading2"/>
      </w:pPr>
      <w:r>
        <w:t xml:space="preserve">3.9 Human Oversight and Accountability</w:t>
      </w:r>
    </w:p>
    <w:p>
      <w:pPr>
        <w:pStyle w:val="ListBullet"/>
      </w:pPr>
      <w:r>
        <w:t xml:space="preserve">A named person stays accountable for every decision and work product that an AI tool helped create.</w:t>
      </w:r>
    </w:p>
    <w:p>
      <w:pPr>
        <w:pStyle w:val="ListBullet"/>
      </w:pPr>
      <w:r>
        <w:rPr/>
        <w:t>A consequential use requires human oversight (Section 3.1), exercised before the output is used or the decision takes effect.</w:t>
      </w:r>
    </w:p>
    <w:p>
      <w:pPr>
        <w:pStyle w:val="ListBullet"/>
      </w:pPr>
      <w:r>
        <w:t xml:space="preserve">Understand a tool's limits before relying on it, and do not use AI beyond what you can meaningfully review. If you cannot check the output, do not use it for that purpose.</w:t>
      </w:r>
    </w:p>
    <w:p>
      <w:pPr>
        <w:pStyle w:val="Heading2"/>
      </w:pPr>
      <w:r>
        <w:t xml:space="preserve">3.10 Security</w:t>
      </w:r>
    </w:p>
    <w:p>
      <w:pPr>
        <w:pStyle w:val="ListBullet"/>
      </w:pPr>
      <w:r>
        <w:t xml:space="preserve">Never put passwords, keys, tokens, or other secrets and security details into an AI tool (this deliberately repeats Section 3.5).</w:t>
      </w:r>
    </w:p>
    <w:p>
      <w:pPr>
        <w:pStyle w:val="ListBullet"/>
      </w:pPr>
      <w:r>
        <w:rPr/>
        <w:t>Treat AI output as untrusted input. Review AI-generated code and commands, AI-provided links, and instructions an AI surfaces before you run, follow, or act on them. For a tool approved to act on its own, the replacement checks defined in its approval take the place of that review for the actions the approval covers (Sections 3.2 and 3.6). Content, documents, web pages, and emails can carry hidden instructions that hijack an AI tool (prompt injection), so an AI assistant that reads them can be turned against you.</w:t>
      </w:r>
    </w:p>
    <w:p>
      <w:pPr>
        <w:pStyle w:val="ListBullet"/>
      </w:pPr>
      <w:r>
        <w:t xml:space="preserve">Reach AI tools through the organization's approved, authenticated access. Report a suspected compromise, account takeover, or misuse of an AI tool as an incident (Section 7.0).</w:t>
      </w:r>
    </w:p>
    <w:p>
      <w:pPr>
        <w:pStyle w:val="Heading2"/>
      </w:pPr>
      <w:r>
        <w:t xml:space="preserve">3.11 Privacy and Legal Compliance</w:t>
      </w:r>
    </w:p>
    <w:p>
      <w:pPr>
        <w:pStyle w:val="ListBullet"/>
      </w:pPr>
      <w:r>
        <w:rPr/>
        <w:t>Using AI must comply with the privacy, data-protection, employment, and sector laws that apply to the organization. These vary by place and activity, and some places regulate AI directly (for example, the European Union's AI Act may apply depending on where the organization operates and what it does). Each organization maps its own obligations and adapts this policy to them.</w:t>
      </w:r>
    </w:p>
    <w:p>
      <w:pPr>
        <w:pStyle w:val="ListBullet"/>
      </w:pPr>
      <w:r>
        <w:rPr/>
        <w:t>Use AI to process personal data only in ways covered by the organization's privacy notices and by its legal basis or authorization (the lawful reason) for that processing.</w:t>
      </w:r>
    </w:p>
    <w:p>
      <w:pPr>
        <w:pStyle w:val="ListBullet"/>
      </w:pPr>
      <w:r>
        <w:t xml:space="preserve">This policy is general guidance, not legal advice. Have it reviewed by qualified legal counsel and adapted to your jurisdiction and activities before adopting it, and confirm your obligations with a qualified adviser before relying on AI for anything with legal weight.</w:t>
      </w:r>
    </w:p>
    <w:p>
      <w:pPr>
        <w:pStyle w:val="Heading2"/>
      </w:pPr>
      <w:r>
        <w:t xml:space="preserve">3.12 Bias, Fairness, and Non-discrimination</w:t>
      </w:r>
    </w:p>
    <w:p>
      <w:pPr>
        <w:pStyle w:val="ListBullet"/>
      </w:pPr>
      <w:r>
        <w:t xml:space="preserve">AI output can carry and magnify bias from the data it was trained on. Where AI output affects people, such as evaluations, selections, or communications, apply human judgment and check for unfair or discriminatory results before acting.</w:t>
      </w:r>
    </w:p>
    <w:p>
      <w:pPr>
        <w:pStyle w:val="ListBullet"/>
      </w:pPr>
      <w:r>
        <w:rPr/>
        <w:t>Do not let AI output be the sole basis for a decision about a person, whether it comes from one tool or from several tools that agree. Watch for output that is one-sided or that pushes everyone toward the same narrow answer.</w:t>
      </w:r>
    </w:p>
    <w:p>
      <w:pPr>
        <w:pStyle w:val="Heading2"/>
      </w:pPr>
      <w:r>
        <w:t xml:space="preserve">3.13 Training and Awareness</w:t>
      </w:r>
    </w:p>
    <w:p>
      <w:pPr>
        <w:pStyle w:val="ListBullet"/>
      </w:pPr>
      <w:r>
        <w:rPr/>
        <w:t xml:space="preserve">Before using AI tools for the organization's work, everyone completes the organization's AI-use training and acknowledges this policy. Until that training is available, reading and acknowledging this policy is enough. Once the training becomes available, anyone who has been using AI tools on that basis completes the training within </w:t>
      </w:r>
      <w:r>
        <w:rPr>
          <w:highlight w:val="yellow"/>
        </w:rPr>
        <w:t>[30 days]</w:t>
      </w:r>
      <w:r>
        <w:rPr/>
        <w:t>. Everyone stays current as the tools, the risks, and the rules change. Training covers this policy's rules and how to recognize AI risks such as confabulation, data leakage, bias, and prompt injection.</w:t>
      </w:r>
    </w:p>
    <w:p>
      <w:pPr>
        <w:pStyle w:val="Heading1"/>
      </w:pPr>
      <w:r>
        <w:t xml:space="preserve">4.0 Roles and Responsibilities</w:t>
      </w:r>
    </w:p>
    <w:p>
      <w:pPr>
        <w:pStyle w:val="ListBullet"/>
      </w:pPr>
      <w:r>
        <w:t xml:space="preserve">The Information Security Lead owns this policy, keeps it current, and answers questions about what it requires. The Information Security Lead provides the AI-use training Section 3.13 requires, within </w:t>
      </w:r>
      <w:r>
        <w:rPr>
          <w:highlight w:val="yellow"/>
        </w:rPr>
        <w:t xml:space="preserve">[90 days]</w:t>
      </w:r>
      <w:r>
        <w:t xml:space="preserve"> of the effective date. The organization may name a separate AI governance owner or lead for this policy; where it does, that owner carries the responsibilities this policy gives the Information Security Lead.</w:t>
      </w:r>
    </w:p>
    <w:p>
      <w:pPr>
        <w:pStyle w:val="ListBullet"/>
      </w:pPr>
      <w:r>
        <w:t xml:space="preserve">The Information Security Lead approves, or delegates approval of, the AI tools and the uses this policy calls approved, keeps the list of approved AI tools where everyone can find it, and records the data sensitivity and the uses each approval covers. Until the list is published, AI tools the organization already provides (on its own accounts) count as approved for everyday information. A tool already in use when this policy takes effect may continue in use while it is on the review list, declared to the Information Security Lead within </w:t>
      </w:r>
      <w:r>
        <w:rPr>
          <w:highlight w:val="yellow"/>
        </w:rPr>
        <w:t xml:space="preserve">[30 days]</w:t>
      </w:r>
      <w:r>
        <w:t xml:space="preserve"> of the effective date. Ask the Information Security Lead before using any AI tool for sensitive information, and before adopting anything else.</w:t>
      </w:r>
    </w:p>
    <w:p>
      <w:pPr>
        <w:pStyle w:val="ListBullet"/>
      </w:pPr>
      <w:r>
        <w:t xml:space="preserve">Executive Management holds overall accountability for the organization's responsible use of AI and sets the risk tolerance behind the permitted and prohibited uses (Sections 3.3 and 3.4).</w:t>
      </w:r>
    </w:p>
    <w:p>
      <w:pPr>
        <w:pStyle w:val="ListBullet"/>
      </w:pPr>
      <w:r>
        <w:rPr/>
        <w:t>IT or security operations carry out the technical work behind this policy (vetting tools, setting up approved access, and applying controls) under the Information Security Lead's direction.</w:t>
      </w:r>
    </w:p>
    <w:p>
      <w:pPr>
        <w:pStyle w:val="ListBullet"/>
      </w:pPr>
      <w:r>
        <w:t xml:space="preserve">Managers make sure their teams know and follow this policy, and work with Human Resources when it is violated.</w:t>
      </w:r>
    </w:p>
    <w:p>
      <w:pPr>
        <w:pStyle w:val="ListBullet"/>
      </w:pPr>
      <w:r>
        <w:t xml:space="preserve">Human Resources collects and keeps policy acknowledgments and tracks required training, consistent with the Information Security Policy.</w:t>
      </w:r>
    </w:p>
    <w:p>
      <w:pPr>
        <w:pStyle w:val="ListBullet"/>
      </w:pPr>
      <w:r>
        <w:t xml:space="preserve">Everyone covered by this policy must follow it, complete required AI-use training, and verify the output they use. Everyone must also acknowledge the policy when it first applies to them, annually thereafter, and when the Information Security Lead determines it has changed significantly (see Appendix 1).</w:t>
      </w:r>
    </w:p>
    <w:p>
      <w:pPr>
        <w:pStyle w:val="Heading1"/>
      </w:pPr>
      <w:r>
        <w:t xml:space="preserve">5.0 Policy Review and Updates</w:t>
      </w:r>
    </w:p>
    <w:p>
      <w:r>
        <w:t xml:space="preserve">This policy shall be reviewed at least annually, and sooner when the business, the AI tools in use, their capabilities, the applicable regulations, or the threat environment change significantly. The Information Security Lead starts the review, and Executive Management approves changes before they take effect. Both steps follow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AI Incidents and Concerns</w:t>
      </w:r>
    </w:p>
    <w:p>
      <w:r>
        <w:rPr/>
        <w:t>Report suspected AI incidents, misuse, and policy violations promptly. An AI incident includes organization data entered into an unapproved tool, into a tool not approved for that information's classification, or into a personal account; AI output that caused harm (or nearly did, after someone relied on it without the checks Section 3.6 requires); a shadow-AI tool in use; and a suspected compromise or manipulation of an AI tool (such as prompt injection). Use the incident reporting contacts kept in the Information Security Policy (its Appendix 1). A report to any manager counts; the manager passes it to those contacts. Failing to report an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 and on the people affected, and any legal or regulatory requirements.</w:t>
      </w:r>
    </w:p>
    <w:p>
      <w:r>
        <w:t xml:space="preserve">Nothing in this policy restricts legally protected activity, such as discussing your own terms and conditions of employment.</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Acceptable Use Policy: the general rules for tools, data, and online services that this policy builds on.</w:t>
      </w:r>
    </w:p>
    <w:p>
      <w:pPr>
        <w:pStyle w:val="ListBullet"/>
      </w:pPr>
      <w:r>
        <w:t xml:space="preserve">The Data Handling Policy: classification, retention, and disposal of the data used with AI tools and the output they produce.</w:t>
      </w:r>
    </w:p>
    <w:p>
      <w:pPr>
        <w:pStyle w:val="ListBullet"/>
      </w:pPr>
      <w:r>
        <w:t xml:space="preserve">The Access Control Policy: the accounts, authentication, and access rules for AI tools and the systems they reach.</w:t>
      </w:r>
    </w:p>
    <w:p>
      <w:pPr>
        <w:pStyle w:val="ListBullet"/>
      </w:pPr>
      <w:r>
        <w:t xml:space="preserve">The Incident Response Policy: how the AI incidents reported under Section 7.0 are handled.</w:t>
      </w:r>
    </w:p>
    <w:p>
      <w:pPr>
        <w:pStyle w:val="ListBullet"/>
      </w:pPr>
      <w:r>
        <w:t>The Vendor Risk Management Policy: assessing and managing the third parties behind AI tools.</w:t>
      </w:r>
    </w:p>
    <w:p>
      <w:pPr>
        <w:pStyle w:val="ListBullet"/>
      </w:pPr>
      <w:r>
        <w:t xml:space="preserve">The Secure Development Policy: for teams that build or integrate AI systems rather than only use them.</w:t>
      </w:r>
    </w:p>
    <w:p>
      <w:r>
        <w:t xml:space="preserve">Where any of these does not exist yet, treat it as a roadmap item; the rules in this policy apply on their own regardless.</w:t>
      </w:r>
    </w:p>
    <w:p>
      <w:r>
        <w:t xml:space="preserve">Between this policy and the Acceptable Use Policy, this policy's more specific rules govern the use of AI tools. If a contradiction remains that goes beyond one policy being stricter, the Information Security Policy prevails. Where the Information Security Policy says nothing on the point, the Information Security Lead decides which rule governs.</w:t>
      </w:r>
    </w:p>
    <w:p>
      <w:r>
        <w:t xml:space="preserve">This policy aligns with the NIST Artificial Intelligence Risk Management Framework (AI RMF 1.0, January 2023) and its Generative Artificial Intelligence Profile (NIST AI 600-1, July 2024), primarily their Govern function. The framework's trustworthy-AI characteristics shape what this policy asks for: output that is valid and reliable (Section 3.6), use that is safe (Section 3.4) and secure and resilient (Section 3.10), decisions that are accountable and transparent (Sections 3.8 and 3.9), processing that is privacy enhanced (Section 3.11), and results that are fair with harmful biases managed (Section 3.12).</w:t>
      </w:r>
    </w:p>
    <w:p>
      <w:r>
        <w:t xml:space="preserve">The alignment is for structure and good practice; the NIST AI RMF is voluntary guidance, and there is nothing to certify against. An organization that wants a certifiable AI management system can pursue ISO/IEC 42001:2023, the AI counterpart to ISO/IEC 27001, as a separate route; the practices here support that direction. Appendix 2 maps the aligned sections to the framework references they support. These rules also support the acceptable-use and governance expectations of the organization's ISO/IEC 27001-aligned information security management system.</w:t>
      </w:r>
    </w:p>
    <w:p>
      <w:pPr>
        <w:pStyle w:val="Heading1"/>
      </w:pPr>
      <w:r>
        <w:t xml:space="preserve">Appendix 1: Acknowledgment</w:t>
      </w:r>
    </w:p>
    <w:p>
      <w:r>
        <w:t xml:space="preserve">Each person covered by this policy must acknowledge it before using AI tools for the organization's work: at onboarding for new joiners, or when the policy takes effect for people already working. Each person must acknowledge it again annually, and when the Information Security Lead determines it has changed significantly. Human Resources keeps completed acknowledgments with the records of each person's employment or engagement, as evidence under Section 3.1 of the Information Security Policy. The policy applies to everyone in Section 2.0 from their first use of an AI tool for the organization's work, whether or not an acknowledgment is on file.</w:t>
      </w:r>
    </w:p>
    <w:p>
      <w:pPr>
        <w:keepNext/>
      </w:pPr>
      <w:r>
        <w:t xml:space="preserve">I have read and understood the AI Acceptable Use Policy, and I agree to follow it.</w:t>
      </w:r>
    </w:p>
    <w:tbl>
      <w:tblPr>
        <w:tblStyle w:val="TableGrid"/>
        <w:tblW w:type="auto" w:w="0"/>
        <w:tblLook w:firstColumn="1" w:firstRow="1" w:lastColumn="0" w:lastRow="0" w:noHBand="0" w:noVBand="1" w:val="04A0"/>
      </w:tblPr>
      <w:tblGrid>
        <w:gridCol w:w="3600"/>
        <w:gridCol w:w="3600"/>
        <w:gridCol w:w="3600"/>
      </w:tblGrid>
      <w:tr>
        <w:tc>
          <w:tcPr>
            <w:tcW w:type="dxa" w:w="3600"/>
          </w:tcPr>
          <w:p>
            <w:r>
              <w:rPr>
                <w:b/>
              </w:rPr>
              <w:t xml:space="preserve">Name (printed)</w:t>
            </w:r>
          </w:p>
        </w:tc>
        <w:tc>
          <w:tcPr>
            <w:tcW w:type="dxa" w:w="3600"/>
          </w:tcPr>
          <w:p>
            <w:r>
              <w:rPr>
                <w:b/>
              </w:rPr>
              <w:t xml:space="preserve">Signature</w:t>
            </w:r>
          </w:p>
        </w:tc>
        <w:tc>
          <w:tcPr>
            <w:tcW w:type="dxa" w:w="3600"/>
          </w:tcPr>
          <w:p>
            <w:r>
              <w:rPr>
                <w:b/>
              </w:rPr>
              <w:t xml:space="preserve">Date</w:t>
            </w:r>
          </w:p>
        </w:tc>
      </w:tr>
      <w:tr>
        <w:tc>
          <w:tcPr>
            <w:tcW w:type="dxa" w:w="3600"/>
          </w:tcPr>
          <w:p/>
        </w:tc>
        <w:tc>
          <w:tcPr>
            <w:tcW w:type="dxa" w:w="3600"/>
          </w:tcPr>
          <w:p/>
        </w:tc>
        <w:tc>
          <w:tcPr>
            <w:tcW w:type="dxa" w:w="3600"/>
          </w:tcPr>
          <w:p/>
        </w:tc>
      </w:tr>
      <w:tr>
        <w:tc>
          <w:tcPr>
            <w:tcW w:type="dxa" w:w="3600"/>
          </w:tcPr>
          <w:p/>
        </w:tc>
        <w:tc>
          <w:tcPr>
            <w:tcW w:type="dxa" w:w="3600"/>
          </w:tcPr>
          <w:p/>
        </w:tc>
        <w:tc>
          <w:tcPr>
            <w:tcW w:type="dxa" w:w="3600"/>
          </w:tcPr>
          <w:p/>
        </w:tc>
      </w:tr>
      <w:tr>
        <w:tc>
          <w:tcPr>
            <w:tcW w:type="dxa" w:w="3600"/>
          </w:tcPr>
          <w:p/>
        </w:tc>
        <w:tc>
          <w:tcPr>
            <w:tcW w:type="dxa" w:w="3600"/>
          </w:tcPr>
          <w:p/>
        </w:tc>
        <w:tc>
          <w:tcPr>
            <w:tcW w:type="dxa" w:w="3600"/>
          </w:tcPr>
          <w:p/>
        </w:tc>
      </w:tr>
    </w:tbl>
    <w:p>
      <w:pPr>
        <w:pStyle w:val="Heading1"/>
      </w:pPr>
      <w:r>
        <w:t xml:space="preserve">Appendix 2: Alignment with the NIST AI Risk Management Framework</w:t>
      </w:r>
    </w:p>
    <w:p>
      <w:r>
        <w:t xml:space="preserve">This table cross-references the policy to the NIST AI RMF (AI RMF 1.0) Govern function and to the Suggested Actions of its Generative AI Profile (NIST AI 600-1). It is a good-practice map, not an audit or certification claim. Govern subcategories are shown in the framework's form (for example, GOVERN 1.1); Generative AI Profile actions use their action identifiers (for example, GV-3.2-003). Two AI 600-1 risks, Environmental Impacts and Value Chain and Component Integration, sit with building and operating AI systems rather than everyday use, so this use-focused policy does not map its sections directly to them. Where no suggested action fits everyday use, the third column instead names the profile risk the section addresses, or (none).</w:t>
      </w:r>
    </w:p>
    <w:tbl>
      <w:tblPr>
        <w:tblStyle w:val="TableGrid"/>
        <w:tblW w:type="auto" w:w="0"/>
        <w:tblLook w:firstColumn="1" w:firstRow="1" w:lastColumn="0" w:lastRow="0" w:noHBand="0" w:noVBand="1" w:val="04A0"/>
      </w:tblPr>
      <w:tblGrid>
        <w:gridCol w:w="4860"/>
        <w:gridCol w:w="2880"/>
        <w:gridCol w:w="3060"/>
      </w:tblGrid>
      <w:tr>
        <w:trPr>
          <w:cantSplit/>
          <w:tblHeader/>
        </w:trPr>
        <w:tc>
          <w:tcPr>
            <w:tcW w:type="dxa" w:w="4860"/>
          </w:tcPr>
          <w:p>
            <w:r>
              <w:rPr>
                <w:b/>
              </w:rPr>
              <w:t xml:space="preserve">Policy section</w:t>
            </w:r>
          </w:p>
        </w:tc>
        <w:tc>
          <w:tcPr>
            <w:tcW w:type="dxa" w:w="2880"/>
          </w:tcPr>
          <w:p>
            <w:r>
              <w:rPr>
                <w:b/>
              </w:rPr>
              <w:t xml:space="preserve">NIST AI RMF Govern</w:t>
            </w:r>
          </w:p>
        </w:tc>
        <w:tc>
          <w:tcPr>
            <w:tcW w:type="dxa" w:w="3060"/>
          </w:tcPr>
          <w:p>
            <w:r>
              <w:rPr>
                <w:b/>
              </w:rPr>
              <w:t xml:space="preserve">Generative AI Profile (AI 600-1)</w:t>
            </w:r>
          </w:p>
        </w:tc>
      </w:tr>
      <w:tr>
        <w:trPr>
          <w:cantSplit/>
        </w:trPr>
        <w:tc>
          <w:tcPr>
            <w:tcW w:type="dxa" w:w="4860"/>
          </w:tcPr>
          <w:p>
            <w:r>
              <w:t xml:space="preserve">3.2 Approved Tools and Shadow AI</w:t>
            </w:r>
          </w:p>
        </w:tc>
        <w:tc>
          <w:tcPr>
            <w:tcW w:type="dxa" w:w="2880"/>
          </w:tcPr>
          <w:p>
            <w:r>
              <w:t xml:space="preserve">GOVERN 1.6; GOVERN 6.1</w:t>
            </w:r>
          </w:p>
        </w:tc>
        <w:tc>
          <w:tcPr>
            <w:tcW w:type="dxa" w:w="3060"/>
          </w:tcPr>
          <w:p>
            <w:r>
              <w:t xml:space="preserve">GV-3.2-003</w:t>
            </w:r>
          </w:p>
        </w:tc>
      </w:tr>
      <w:tr>
        <w:trPr>
          <w:cantSplit/>
        </w:trPr>
        <w:tc>
          <w:tcPr>
            <w:tcW w:type="dxa" w:w="4860"/>
          </w:tcPr>
          <w:p>
            <w:r>
              <w:t xml:space="preserve">3.3 Permitted Uses</w:t>
            </w:r>
          </w:p>
        </w:tc>
        <w:tc>
          <w:tcPr>
            <w:tcW w:type="dxa" w:w="2880"/>
          </w:tcPr>
          <w:p>
            <w:r>
              <w:t xml:space="preserve">GOVERN 1.3</w:t>
            </w:r>
          </w:p>
        </w:tc>
        <w:tc>
          <w:tcPr>
            <w:tcW w:type="dxa" w:w="3060"/>
          </w:tcPr>
          <w:p>
            <w:r>
              <w:t xml:space="preserve">GV-3.2-003</w:t>
            </w:r>
          </w:p>
        </w:tc>
      </w:tr>
      <w:tr>
        <w:trPr>
          <w:cantSplit/>
        </w:trPr>
        <w:tc>
          <w:tcPr>
            <w:tcW w:type="dxa" w:w="4860"/>
          </w:tcPr>
          <w:p>
            <w:r>
              <w:t xml:space="preserve">3.4 Prohibited Uses</w:t>
            </w:r>
          </w:p>
        </w:tc>
        <w:tc>
          <w:tcPr>
            <w:tcW w:type="dxa" w:w="2880"/>
          </w:tcPr>
          <w:p>
            <w:r>
              <w:t xml:space="preserve">GOVERN 1.1; GOVERN 1.3</w:t>
            </w:r>
          </w:p>
        </w:tc>
        <w:tc>
          <w:tcPr>
            <w:tcW w:type="dxa" w:w="3060"/>
          </w:tcPr>
          <w:p>
            <w:r>
              <w:t xml:space="preserve">GV-1.3-004</w:t>
            </w:r>
          </w:p>
        </w:tc>
      </w:tr>
      <w:tr>
        <w:trPr>
          <w:cantSplit/>
        </w:trPr>
        <w:tc>
          <w:tcPr>
            <w:tcW w:type="dxa" w:w="4860"/>
          </w:tcPr>
          <w:p>
            <w:r>
              <w:t xml:space="preserve">3.5 Data Handling for AI Inputs</w:t>
            </w:r>
          </w:p>
        </w:tc>
        <w:tc>
          <w:tcPr>
            <w:tcW w:type="dxa" w:w="2880"/>
          </w:tcPr>
          <w:p>
            <w:r>
              <w:t xml:space="preserve">GOVERN 1.1</w:t>
            </w:r>
          </w:p>
        </w:tc>
        <w:tc>
          <w:tcPr>
            <w:tcW w:type="dxa" w:w="3060"/>
          </w:tcPr>
          <w:p>
            <w:r>
              <w:t xml:space="preserve">GV-1.1-001</w:t>
            </w:r>
          </w:p>
        </w:tc>
      </w:tr>
      <w:tr>
        <w:trPr>
          <w:cantSplit/>
        </w:trPr>
        <w:tc>
          <w:tcPr>
            <w:tcW w:type="dxa" w:w="4860"/>
          </w:tcPr>
          <w:p>
            <w:r>
              <w:t xml:space="preserve">3.6 Reviewing and Verifying Output</w:t>
            </w:r>
          </w:p>
        </w:tc>
        <w:tc>
          <w:tcPr>
            <w:tcW w:type="dxa" w:w="2880"/>
          </w:tcPr>
          <w:p>
            <w:r>
              <w:t xml:space="preserve">GOVERN 3.2</w:t>
            </w:r>
          </w:p>
        </w:tc>
        <w:tc>
          <w:tcPr>
            <w:tcW w:type="dxa" w:w="3060"/>
          </w:tcPr>
          <w:p>
            <w:r>
              <w:t xml:space="preserve">(Confabulation risk)</w:t>
            </w:r>
          </w:p>
        </w:tc>
      </w:tr>
      <w:tr>
        <w:trPr>
          <w:cantSplit/>
        </w:trPr>
        <w:tc>
          <w:tcPr>
            <w:tcW w:type="dxa" w:w="4860"/>
          </w:tcPr>
          <w:p>
            <w:r>
              <w:t xml:space="preserve">3.7 Intellectual Property and Attribution</w:t>
            </w:r>
          </w:p>
        </w:tc>
        <w:tc>
          <w:tcPr>
            <w:tcW w:type="dxa" w:w="2880"/>
          </w:tcPr>
          <w:p>
            <w:r>
              <w:t xml:space="preserve">GOVERN 6.1</w:t>
            </w:r>
          </w:p>
        </w:tc>
        <w:tc>
          <w:tcPr>
            <w:tcW w:type="dxa" w:w="3060"/>
          </w:tcPr>
          <w:p>
            <w:r>
              <w:t xml:space="preserve">GV-1.1-001; GV-6.1-001</w:t>
            </w:r>
          </w:p>
        </w:tc>
      </w:tr>
      <w:tr>
        <w:trPr>
          <w:cantSplit/>
        </w:trPr>
        <w:tc>
          <w:tcPr>
            <w:tcW w:type="dxa" w:w="4860"/>
          </w:tcPr>
          <w:p>
            <w:r>
              <w:t xml:space="preserve">3.8 Transparency and Disclosure</w:t>
            </w:r>
          </w:p>
        </w:tc>
        <w:tc>
          <w:tcPr>
            <w:tcW w:type="dxa" w:w="2880"/>
          </w:tcPr>
          <w:p>
            <w:r>
              <w:t xml:space="preserve">GOVERN 1.2</w:t>
            </w:r>
          </w:p>
        </w:tc>
        <w:tc>
          <w:tcPr>
            <w:tcW w:type="dxa" w:w="3060"/>
          </w:tcPr>
          <w:p>
            <w:r>
              <w:t xml:space="preserve">(Information Integrity risk)</w:t>
            </w:r>
          </w:p>
        </w:tc>
      </w:tr>
      <w:tr>
        <w:trPr>
          <w:cantSplit/>
        </w:trPr>
        <w:tc>
          <w:tcPr>
            <w:tcW w:type="dxa" w:w="4860"/>
          </w:tcPr>
          <w:p>
            <w:r>
              <w:t xml:space="preserve">3.9 Human Oversight and Accountability</w:t>
            </w:r>
          </w:p>
        </w:tc>
        <w:tc>
          <w:tcPr>
            <w:tcW w:type="dxa" w:w="2880"/>
          </w:tcPr>
          <w:p>
            <w:r>
              <w:t xml:space="preserve">GOVERN 2.1; GOVERN 3.2</w:t>
            </w:r>
          </w:p>
        </w:tc>
        <w:tc>
          <w:tcPr>
            <w:tcW w:type="dxa" w:w="3060"/>
          </w:tcPr>
          <w:p>
            <w:r>
              <w:t xml:space="preserve">GV-3.2-003</w:t>
            </w:r>
          </w:p>
        </w:tc>
      </w:tr>
      <w:tr>
        <w:trPr>
          <w:cantSplit/>
        </w:trPr>
        <w:tc>
          <w:tcPr>
            <w:tcW w:type="dxa" w:w="4860"/>
          </w:tcPr>
          <w:p>
            <w:r>
              <w:t xml:space="preserve">3.10 Security</w:t>
            </w:r>
          </w:p>
        </w:tc>
        <w:tc>
          <w:tcPr>
            <w:tcW w:type="dxa" w:w="2880"/>
          </w:tcPr>
          <w:p>
            <w:r>
              <w:t xml:space="preserve">GOVERN 1.2</w:t>
            </w:r>
          </w:p>
        </w:tc>
        <w:tc>
          <w:tcPr>
            <w:tcW w:type="dxa" w:w="3060"/>
          </w:tcPr>
          <w:p>
            <w:r>
              <w:t xml:space="preserve">(Information Security risk)</w:t>
            </w:r>
          </w:p>
        </w:tc>
      </w:tr>
      <w:tr>
        <w:trPr>
          <w:cantSplit/>
        </w:trPr>
        <w:tc>
          <w:tcPr>
            <w:tcW w:type="dxa" w:w="4860"/>
          </w:tcPr>
          <w:p>
            <w:r>
              <w:t xml:space="preserve">3.11 Privacy and Legal Compliance</w:t>
            </w:r>
          </w:p>
        </w:tc>
        <w:tc>
          <w:tcPr>
            <w:tcW w:type="dxa" w:w="2880"/>
          </w:tcPr>
          <w:p>
            <w:r>
              <w:t xml:space="preserve">GOVERN 1.1</w:t>
            </w:r>
          </w:p>
        </w:tc>
        <w:tc>
          <w:tcPr>
            <w:tcW w:type="dxa" w:w="3060"/>
          </w:tcPr>
          <w:p>
            <w:r>
              <w:t xml:space="preserve">GV-1.1-001</w:t>
            </w:r>
          </w:p>
        </w:tc>
      </w:tr>
      <w:tr>
        <w:trPr>
          <w:cantSplit/>
        </w:trPr>
        <w:tc>
          <w:tcPr>
            <w:tcW w:type="dxa" w:w="4860"/>
          </w:tcPr>
          <w:p>
            <w:r>
              <w:t xml:space="preserve">3.12 Bias, Fairness, and Non-discrimination</w:t>
            </w:r>
          </w:p>
        </w:tc>
        <w:tc>
          <w:tcPr>
            <w:tcW w:type="dxa" w:w="2880"/>
          </w:tcPr>
          <w:p>
            <w:r>
              <w:t xml:space="preserve">GOVERN 4.1</w:t>
            </w:r>
          </w:p>
        </w:tc>
        <w:tc>
          <w:tcPr>
            <w:tcW w:type="dxa" w:w="3060"/>
          </w:tcPr>
          <w:p>
            <w:r>
              <w:t xml:space="preserve">(Harmful Bias and Homogenization risk)</w:t>
            </w:r>
          </w:p>
        </w:tc>
      </w:tr>
      <w:tr>
        <w:trPr>
          <w:cantSplit/>
        </w:trPr>
        <w:tc>
          <w:tcPr>
            <w:tcW w:type="dxa" w:w="4860"/>
          </w:tcPr>
          <w:p>
            <w:r>
              <w:t xml:space="preserve">3.13 Training and Awareness</w:t>
            </w:r>
          </w:p>
        </w:tc>
        <w:tc>
          <w:tcPr>
            <w:tcW w:type="dxa" w:w="2880"/>
          </w:tcPr>
          <w:p>
            <w:r>
              <w:t xml:space="preserve">GOVERN 2.2</w:t>
            </w:r>
          </w:p>
        </w:tc>
        <w:tc>
          <w:tcPr>
            <w:tcW w:type="dxa" w:w="3060"/>
          </w:tcPr>
          <w:p>
            <w:r>
              <w:t xml:space="preserve">(none)</w:t>
            </w:r>
          </w:p>
        </w:tc>
      </w:tr>
      <w:tr>
        <w:trPr>
          <w:cantSplit/>
        </w:trPr>
        <w:tc>
          <w:tcPr>
            <w:tcW w:type="dxa" w:w="4860"/>
          </w:tcPr>
          <w:p>
            <w:r>
              <w:t xml:space="preserve">4.0 Roles and Responsibilities</w:t>
            </w:r>
          </w:p>
        </w:tc>
        <w:tc>
          <w:tcPr>
            <w:tcW w:type="dxa" w:w="2880"/>
          </w:tcPr>
          <w:p>
            <w:r>
              <w:t xml:space="preserve">GOVERN 2.1; GOVERN 2.3</w:t>
            </w:r>
          </w:p>
        </w:tc>
        <w:tc>
          <w:tcPr>
            <w:tcW w:type="dxa" w:w="3060"/>
          </w:tcPr>
          <w:p>
            <w:r>
              <w:t xml:space="preserve">(none)</w:t>
            </w:r>
          </w:p>
        </w:tc>
      </w:tr>
      <w:tr>
        <w:trPr>
          <w:cantSplit/>
        </w:trPr>
        <w:tc>
          <w:tcPr>
            <w:tcW w:type="dxa" w:w="4860"/>
          </w:tcPr>
          <w:p>
            <w:r>
              <w:t xml:space="preserve">5.0 Policy Review and Updates</w:t>
            </w:r>
          </w:p>
        </w:tc>
        <w:tc>
          <w:tcPr>
            <w:tcW w:type="dxa" w:w="2880"/>
          </w:tcPr>
          <w:p>
            <w:r>
              <w:t xml:space="preserve">GOVERN 1.5</w:t>
            </w:r>
          </w:p>
        </w:tc>
        <w:tc>
          <w:tcPr>
            <w:tcW w:type="dxa" w:w="3060"/>
          </w:tcPr>
          <w:p>
            <w:r>
              <w:t xml:space="preserve">(none)</w:t>
            </w:r>
          </w:p>
        </w:tc>
      </w:tr>
      <w:tr>
        <w:trPr>
          <w:cantSplit/>
        </w:trPr>
        <w:tc>
          <w:tcPr>
            <w:tcW w:type="dxa" w:w="4860"/>
          </w:tcPr>
          <w:p>
            <w:r>
              <w:t xml:space="preserve">7.0 Reporting AI Incidents and Concerns</w:t>
            </w:r>
          </w:p>
        </w:tc>
        <w:tc>
          <w:tcPr>
            <w:tcW w:type="dxa" w:w="2880"/>
          </w:tcPr>
          <w:p>
            <w:r>
              <w:t xml:space="preserve">GOVERN 4.3</w:t>
            </w:r>
          </w:p>
        </w:tc>
        <w:tc>
          <w:tcPr>
            <w:tcW w:type="dxa" w:w="3060"/>
          </w:tcPr>
          <w:p>
            <w:r>
              <w:t xml:space="preserve">GV-4.3-002</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AI Acceptable Use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3948</Words>
  <Characters>21075</Characters>
  <DocSecurity>0</DocSecurity>
  <Lines>179</Lines>
  <Paragraphs>139</Paragraphs>
  <ScaleCrop>false</ScaleCrop>
  <HeadingPairs>
    <vt:vector size="2" baseType="variant">
      <vt:variant>
        <vt:lpstr>Title</vt:lpstr>
      </vt:variant>
      <vt:variant>
        <vt:i4>1</vt:i4>
      </vt:variant>
    </vt:vector>
  </HeadingPairs>
  <TitlesOfParts>
    <vt:vector size="1" baseType="lpstr">
      <vt:lpstr>AI Acceptable Use Policy</vt:lpstr>
    </vt:vector>
  </TitlesOfParts>
  <Manager/>
  <Company>anoBytes Technology Solutions LLC</Company>
  <LinksUpToDate>false</LinksUpToDate>
  <CharactersWithSpaces>25026</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AI Acceptable Use Policy</dc:title>
  <dc:subject>AI acceptable use policy template</dc:subject>
  <dc:creator>Nelson Pereira, anoBytes Technology Solutions LLC</dc:creator>
  <cp:keywords>artificial intelligence, llm, ai governance, nist ai rmf, shadow ai, prompt injection, ai agents, ai-generated, disclosure, prohibited uses, bias, fairness, consequential use, hallucination</cp:keywords>
  <dc:description>The AI companion to the Acceptable Use Policy: the rules for how staff use AI tools, especially generative AI assistants, covering approved tools, data handling, output verification, intellectual property, human oversight, and security, aligned to the NIST AI Risk Management Framework and its Generative AI Profile. Free to adapt for your organization.</dc:description>
  <cp:lastModifiedBy/>
  <cp:revision>1</cp:revision>
  <dcterms:created xsi:type="dcterms:W3CDTF">2026-07-20T00:00:00Z</dcterms:created>
  <dcterms:modified xsi:type="dcterms:W3CDTF">2026-08-06T00:00:00Z</dcterms:modified>
  <cp:category>Template</cp:category>
</cp:coreProperties>
</file>