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Business Continuity &amp; Disaster Recovery Plan</w:t>
      </w:r>
    </w:p>
    <w:p>
      <w:r>
        <w:rPr>
          <w:b/>
        </w:rPr>
        <w:t xml:space="preserve">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Business Continuity &amp; Disaster Recovery Plan</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Confidential (the filled-in contact tree holds personal details)]</w:t>
            </w:r>
          </w:p>
        </w:tc>
      </w:tr>
    </w:tbl>
    <w:p>
      <w:r>
        <w:rPr>
          <w:b/>
        </w:rPr>
        <w:t xml:space="preserve">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plan is how </w:t>
      </w:r>
      <w:r>
        <w:rPr>
          <w:highlight w:val="yellow"/>
        </w:rPr>
        <w:t xml:space="preserve">[Company Name]</w:t>
      </w:r>
      <w:r>
        <w:t xml:space="preserve"> ("the organization") keeps operating, and gets its systems and data back, when something takes them out: a ransomware attack, a failed provider, a fire, or the sudden loss of a key person. It names who takes charge, what comes back first, and the steps to follow for the most likely disruptions.</w:t>
      </w:r>
    </w:p>
    <w:p>
      <w:r>
        <w:t xml:space="preserve">This plan is a supporting document of the organization's Information Security Policy, which requires the organization to keep tested business continuity and disaster recovery (BC/DR) plans. Security incidents are run under the Incident Response Policy; this plan owns recovery and keeping the business running. When an incident also disrupts the business, as ransomware does, the two run together (Section 7.1).</w:t>
      </w:r>
    </w:p>
    <w:p>
      <w:pPr>
        <w:pStyle w:val="Heading1"/>
      </w:pPr>
      <w:r>
        <w:t xml:space="preserve">2.0 Scope</w:t>
      </w:r>
    </w:p>
    <w:p>
      <w:r>
        <w:t>This plan covers the activities the organization depends on and the systems, providers, sites, information, and people behind them. It applies to disruption from any cause: a cyberattack, a hardware or software failure, a cloud or software-as-a-service (SaaS) provider outage, the loss of a site or of access to it, an extended power or internet outage, or the sudden unavailability of a key person. It applies to the organization's employees, contractors, and any other authorized users. Section 4.0 gives the named roles their duties.</w:t>
      </w:r>
    </w:p>
    <w:p>
      <w:pPr>
        <w:pStyle w:val="Heading1"/>
      </w:pPr>
      <w:r>
        <w:t xml:space="preserve">3.0 How to Use This Plan</w:t>
      </w:r>
    </w:p>
    <w:p>
      <w:r>
        <w:t xml:space="preserve">Throughout this plan, a statement of what the organization or its people do ("is backed up", "are tested") is a requirement. So are "must", "shall", and direct instructions such as "verify" or "never". "May" and "is acceptable" mark a permission. The steps in the runbooks (Section 7.0) are instructions: follow them in order unless the Recovery Lead directs otherwise (Section 7.0 sets the limits of that discretion). Where a requirement needs a planned deviation, use the exception process in the Information Security Policy. Text in square brackets marks a decision to make when adopting this plan: a placeholder to fill in, a starting value to set, or a passage to review and then keep, adapt, or delete. Remove the brackets after each decision.</w:t>
      </w:r>
    </w:p>
    <w:tbl>
      <w:tblPr>
        <w:tblStyle w:val="TableGrid"/>
        <w:tblW w:type="auto" w:w="0"/>
        <w:tblLook w:firstColumn="1" w:firstRow="1" w:lastColumn="0" w:lastRow="0" w:noHBand="0" w:noVBand="1" w:val="04A0"/>
      </w:tblPr>
      <w:tblGrid>
        <w:gridCol w:w="10800"/>
      </w:tblGrid>
      <w:tr>
        <w:tc>
          <w:tcPr>
            <w:tcW w:type="dxa" w:w="10800"/>
          </w:tcPr>
          <w:p>
            <w:r>
              <w:t>This plan states the organization's internal requirements and objectives. It is not a warranty of uninterrupted operation or of recovery within any target, and it creates no rights for anyone outside the organization. It is general guidance, not legal advice: adapt the insurance, employment, and notification steps with advice of counsel. If the filled-in plan is ever shared outside the organization (a customer, auditor, or insurer may ask to see it), first make sure practice matches its text.</w:t>
            </w:r>
          </w:p>
        </w:tc>
      </w:tr>
    </w:tbl>
    <w:p>
      <w:pPr>
        <w:pStyle w:val="Heading2"/>
      </w:pPr>
      <w:r>
        <w:t xml:space="preserve">3.1 Where This Plan Lives</w:t>
      </w:r>
    </w:p>
    <w:p>
      <w:r>
        <w:t>This plan is only useful if it can be reached while systems are down. At least one current copy is kept where neither an organization system nor an organization site is needed to reach it: a printed copy held away from the office by each of the Recovery Lead, the deputy, and at least one member of Executive Management, or an offline copy stored away from the organization's sites and outside its own systems. Offline and printed copies are stored securely: once filled in, the plan and its contact tree hold personal details (Section 8.0). The contact tree (Appendix 1) is kept with every copy. All copies are replaced together whenever the plan or its appendices are updated (Section 9.0).</w:t>
      </w:r>
    </w:p>
    <w:p>
      <w:pPr>
        <w:pStyle w:val="Heading2"/>
      </w:pPr>
      <w:r>
        <w:t xml:space="preserve">3.2 When to Activate It</w:t>
      </w:r>
    </w:p>
    <w:p>
      <w:r>
        <w:t>Report a disruption the same way as a security incident: use the incident reporting contacts in the Information Security Policy's Appendix 1, not this plan's Appendix 1. A report to any manager counts; the manager passes it to those contacts. If those contacts are unreachable in the disruption, contact the Recovery Lead or the deputy directly, using this plan's Appendix 1. So that this route works for everyone, the Recovery Lead's and the deputy's direct contact details are shared with all staff separately from this plan.</w:t>
      </w:r>
    </w:p>
    <w:p>
      <w:r>
        <w:t xml:space="preserve">The Recovery Lead, the deputy, and every member of Executive Management can each activate this plan alone; none of them waits for the others. Two situations call for activation. One: a critical activity (Section 5.0) is down or badly degraded, and day-to-day support will not restore it within the time the organization can afford (its recovery time objective, Section 5.0). Two: the disruption is plainly serious, whatever the cause. Whichever of them first sees either situation activates the plan. When in doubt, activate.</w:t>
      </w:r>
    </w:p>
    <w:p>
      <w:pPr>
        <w:pStyle w:val="Heading2"/>
      </w:pPr>
      <w:r>
        <w:t xml:space="preserve">3.3 The First Three Moves</w:t>
      </w:r>
    </w:p>
    <w:p>
      <w:pPr>
        <w:pStyle w:val="ListBullet"/>
      </w:pPr>
      <w:r>
        <w:t xml:space="preserve">People first. Confirm everyone is safe and follow any evacuation or emergency procedure that applies. Nothing in this plan comes before safety.</w:t>
      </w:r>
    </w:p>
    <w:p>
      <w:pPr>
        <w:pStyle w:val="ListBullet"/>
      </w:pPr>
      <w:r>
        <w:t xml:space="preserve">Name who is running the recovery: the Recovery Lead, or the deputy if the Lead is unavailable. Open the agreed channel that does not run on the organization's own systems (the </w:t>
      </w:r>
      <w:r>
        <w:rPr>
          <w:b/>
        </w:rPr>
        <w:t>out-of-band channel</w:t>
      </w:r>
      <w:r>
        <w:t>, Section 8.0), and tell people where updates will appear.</w:t>
      </w:r>
    </w:p>
    <w:p>
      <w:pPr>
        <w:pStyle w:val="ListBullet"/>
      </w:pPr>
      <w:r>
        <w:t xml:space="preserve">Identify which of the critical activities (Appendix 2) are affected, start their interim workarounds, and turn to the runbook in Section 7.0 that matches the scenario. If the disruption is or may be a security incident, start the Incident Response Policy alongside, from the first minute.</w:t>
      </w:r>
    </w:p>
    <w:p>
      <w:pPr>
        <w:pStyle w:val="Heading1"/>
      </w:pPr>
      <w:r>
        <w:t xml:space="preserve">4.0 Roles and Responsibilities</w:t>
      </w:r>
    </w:p>
    <w:p>
      <w:r>
        <w:t>In a small organization several of these roles may be held by the same person. The one exception: the Recovery Lead and the deputy are always two different people. Where the organization is too small to name a second person, the deputy may be a qualified external provider, such as the IT or security provider named in Appendix 1. In many organizations the Information Security Lead or the head of IT is the natural Recovery Lead. Appendix 1 names the people who hold these roles; Appendix 2 names the activity owners.</w:t>
      </w:r>
    </w:p>
    <w:p>
      <w:pPr>
        <w:pStyle w:val="ListBullet"/>
      </w:pPr>
      <w:r>
        <w:rPr>
          <w:b/>
        </w:rPr>
        <w:t>Executive Management</w:t>
      </w:r>
      <w:r>
        <w:t xml:space="preserve"> approves this plan and changes to it, decides the major trade-offs during a recovery (accepting extended downtime, emergency spending, moving or leaving a site, switching providers), and reports continuity status to the Board of Directors or owners, as the Information Security Policy requires.</w:t>
      </w:r>
    </w:p>
    <w:p>
      <w:pPr>
        <w:pStyle w:val="ListBullet"/>
      </w:pPr>
      <w:r>
        <w:rPr>
          <w:b/>
        </w:rPr>
        <w:t>The Information Security Lead</w:t>
      </w:r>
      <w:r>
        <w:t xml:space="preserve"> owns this document: develops, maintains, and tests it, as the Information Security Policy requires, and brings changes to Executive Management for approval. When a disruption is also a security incident, the Information Security Lead runs the incident under the Incident Response Policy.</w:t>
      </w:r>
    </w:p>
    <w:p>
      <w:pPr>
        <w:pStyle w:val="ListBullet"/>
      </w:pPr>
      <w:r>
        <w:rPr>
          <w:b/>
        </w:rPr>
        <w:t>The Recovery Lead</w:t>
      </w:r>
      <w:r>
        <w:t xml:space="preserve"> runs activations of this plan end to end: confirms activation, sets the recovery order (Section 5.0 gives the default), directs the runbooks, keeps a running log from activation to stand-down (times, decisions, spending), keeps Executive Management informed, and declares stand-down (Section 7.5). During an activation the Lead may commit up to </w:t>
      </w:r>
      <w:r>
        <w:rPr>
          <w:highlight w:val="yellow"/>
        </w:rPr>
        <w:t>[$5,000]</w:t>
      </w:r>
      <w:r>
        <w:t xml:space="preserve"> in total without prior approval, through a payment method agreed in advance that works during a disruption (Appendix 1 names it).</w:t>
      </w:r>
    </w:p>
    <w:p>
      <w:pPr>
        <w:pStyle w:val="ListBullet"/>
      </w:pPr>
      <w:r>
        <w:t xml:space="preserve">When Executive Management cannot be reached in time to meet a recovery target, the Lead takes the decision that cannot wait, records it, and reports it at the first opportunity. That fallback never covers paying or negotiating with attackers, or any statement about a security incident; those decisions stay where the Incident Response Policy puts them. The one external message it can cover is the contractual notice Section 8.0 describes, on that section's terms.</w:t>
      </w:r>
    </w:p>
    <w:p>
      <w:pPr>
        <w:pStyle w:val="ListBullet"/>
      </w:pPr>
      <w:r>
        <w:rPr>
          <w:b/>
        </w:rPr>
        <w:t>The Deputy Recovery Lead</w:t>
      </w:r>
      <w:r>
        <w:t xml:space="preserve"> assumes the Recovery Lead's full duties whenever the Lead is unavailable, without waiting to be asked. If both are unavailable, Executive Management appoints an interim Recovery Lead and the recovery continues.</w:t>
      </w:r>
    </w:p>
    <w:p>
      <w:pPr>
        <w:pStyle w:val="ListBullet"/>
      </w:pPr>
      <w:r>
        <w:rPr>
          <w:b/>
        </w:rPr>
        <w:t>Security operations</w:t>
      </w:r>
      <w:r>
        <w:t>, with IT (an internal team or a qualified service provider), carries out the technical recovery under the Recovery Lead's direction: restores systems and data from backups, stands up interim infrastructure, and verifies what is restored.</w:t>
      </w:r>
    </w:p>
    <w:p>
      <w:pPr>
        <w:pStyle w:val="ListBullet"/>
      </w:pPr>
      <w:r>
        <w:rPr>
          <w:b/>
        </w:rPr>
        <w:t>The communications owner</w:t>
      </w:r>
      <w:r>
        <w:t xml:space="preserve"> keeps staff informed during a disruption and prepares anything said outside the organization (Section 8.0).</w:t>
      </w:r>
    </w:p>
    <w:p>
      <w:pPr>
        <w:pStyle w:val="ListBullet"/>
      </w:pPr>
      <w:r>
        <w:rPr>
          <w:b/>
        </w:rPr>
        <w:t>Activity owners</w:t>
      </w:r>
      <w:r>
        <w:t xml:space="preserve"> (the person responsible for each critical activity in Appendix 2) confirm their activity's recovery targets each year, run its interim workaround during a disruption, and verify the activity works again before the Recovery Lead closes recovery for it. A workaround still handles information under the Data Handling Policy's rules for its classification; the activity owner confirms this when the workaround is defined or changed.</w:t>
      </w:r>
    </w:p>
    <w:p>
      <w:pPr>
        <w:pStyle w:val="ListBullet"/>
      </w:pPr>
      <w:r>
        <w:rPr>
          <w:b/>
        </w:rPr>
        <w:t>Everyone</w:t>
      </w:r>
      <w:r>
        <w:t xml:space="preserve"> reports disruptions promptly (Section 3.2) and follows the direction of the person running the recovery.</w:t>
      </w:r>
    </w:p>
    <w:p>
      <w:pPr>
        <w:pStyle w:val="Heading1"/>
      </w:pPr>
      <w:r>
        <w:t xml:space="preserve">5.0 Recovery Priorities</w:t>
      </w:r>
    </w:p>
    <w:p>
      <w:r>
        <w:t xml:space="preserve">The core of this plan is a short list of the activities the organization cannot do without, kept in the worksheet at Appendix 2. Each entry carries two targets:</w:t>
      </w:r>
    </w:p>
    <w:p>
      <w:pPr>
        <w:pStyle w:val="ListBullet"/>
      </w:pPr>
      <w:r>
        <w:rPr>
          <w:b/>
        </w:rPr>
        <w:t>The recovery time objective (RTO)</w:t>
      </w:r>
      <w:r>
        <w:t>: the longest the activity can be down before the harm becomes unacceptable.</w:t>
      </w:r>
    </w:p>
    <w:p>
      <w:pPr>
        <w:pStyle w:val="ListBullet"/>
      </w:pPr>
      <w:r>
        <w:rPr>
          <w:b/>
        </w:rPr>
        <w:t>The recovery point objective (RPO)</w:t>
      </w:r>
      <w:r>
        <w:t>: how much recent work or data the organization can afford to lose, measured in time. An RPO of 24 hours, for example, means restoring yesterday's backup is acceptable, and losing a week is not.</w:t>
      </w:r>
    </w:p>
    <w:p>
      <w:r>
        <w:t>Executive Management decides which activities make the list and sets the targets, on the activity owners' advice. The targets are business decisions, owned by Executive Management, about how much downtime and loss the organization can survive. They drive the backup requirements in Section 6.0. Where the backups cannot meet a target, either the backups improve or the gap is recorded and handled as a risk under the Information Security Policy.</w:t>
      </w:r>
    </w:p>
    <w:p>
      <w:r>
        <w:t>Recovery runs in the worksheet's order, top row first, unless the Recovery Lead directs otherwise. Dependencies override the order: an activity cannot come back until the network, sign-in, and the other systems it needs are back, so the worksheet lists what each activity depends on. Where many services sit on one underlying provider (a concentration the vendor inventory notes under the Vendor Risk Management Policy), weigh that concentration when setting the recovery order and the redundancy in Section 6.0. The worksheet is confirmed or corrected at least annually and whenever a critical activity, system, site, provider, or named person changes (Section 9.0). Each confirmation is recorded.</w:t>
      </w:r>
    </w:p>
    <w:p>
      <w:pPr>
        <w:pStyle w:val="Heading1"/>
      </w:pPr>
      <w:r>
        <w:t xml:space="preserve">6.0 Backup Strategy</w:t>
      </w:r>
    </w:p>
    <w:p>
      <w:r>
        <w:t>Most of Section 7.0 assumes there is a copy to restore. Approved storage locations are backed up, as the Data Handling and Acceptable Use Policies promise, whatever those locations hold. Beyond that baseline, the organization keeps backups of the information, the software and configuration, and the systems behind every critical activity. Those backups are recent enough to meet each activity's recovery point objective, and they meet the requirements below.</w:t>
      </w:r>
    </w:p>
    <w:p>
      <w:pPr>
        <w:pStyle w:val="ListBullet"/>
      </w:pPr>
      <w:r>
        <w:t xml:space="preserve">Backups run automatically on a schedule, at least </w:t>
      </w:r>
      <w:r>
        <w:rPr>
          <w:highlight w:val="yellow"/>
        </w:rPr>
        <w:t>[daily]</w:t>
      </w:r>
      <w:r>
        <w:t xml:space="preserve"> for the systems behind critical activities and often enough to meet each RPO. Backup jobs are monitored: a failed or missed backup raises an alert and is fixed promptly, well before any restore is needed.</w:t>
      </w:r>
    </w:p>
    <w:p>
      <w:pPr>
        <w:pStyle w:val="ListBullet"/>
      </w:pPr>
      <w:r>
        <w:t xml:space="preserve">Data that lives only in a cloud or SaaS service is included. For each such service, the organization either verifies that the provider's own backup and restore meets the RPO, or backs the data up itself with an export or a backup tool. Relying on the provider's own backup covers lost data but leaves nothing to restore while the provider is down (Section 7.2); weigh that when choosing. A service behind a critical activity also meets the isolation rule below, so for it the organization keeps its own export either way. A service that instantly mirrors every change to a second copy (high availability) is not a backup: it mirrors a deletion or a ransomware encryption just as faithfully, so a restore from it brings back the already-damaged data.</w:t>
      </w:r>
    </w:p>
    <w:p>
      <w:pPr>
        <w:pStyle w:val="ListBullet"/>
      </w:pPr>
      <w:r>
        <w:t xml:space="preserve">For every system behind a critical activity, at least one backup copy is kept where an attacker who controls the production environment cannot reach it: offline, immutable (written so it cannot be changed or deleted until a set time passes), or in a separate account with its own credentials that the day-to-day administrator accounts cannot touch. These </w:t>
      </w:r>
      <w:r>
        <w:rPr>
          <w:b/>
        </w:rPr>
        <w:t>isolated copies</w:t>
      </w:r>
      <w:r>
        <w:t xml:space="preserve"> are what the ransomware runbook (Section 7.1) restores from. For data that lives only in a provider's service, an export the organization stores itself, in a separate account or offline, is that isolated copy; the provider's internal backups alone do not satisfy this.</w:t>
      </w:r>
    </w:p>
    <w:p>
      <w:pPr>
        <w:pStyle w:val="ListBullet"/>
      </w:pPr>
      <w:r>
        <w:t>For the same systems, at least one backup copy is kept away from any single site: off-site, or in a cloud service that does not depend on the site. A fire that takes the servers must not take the backups in the same room (Section 7.3). One copy can satisfy this and the isolation requirement together: an isolated cloud copy is both. The same rule applies in the cloud: a backup kept in the same provider region as the system it protects can fail with it. Keep that copy in a different region or with a different provider.</w:t>
      </w:r>
    </w:p>
    <w:p>
      <w:pPr>
        <w:pStyle w:val="ListBullet"/>
      </w:pPr>
      <w:r>
        <w:t xml:space="preserve">Backup copies are protected at least as strongly as the systems they come from: encrypted, with access limited to the people who administer them. The keys and credentials needed to restore are never kept only inside the environment they restore.</w:t>
      </w:r>
    </w:p>
    <w:p>
      <w:pPr>
        <w:pStyle w:val="ListBullet"/>
      </w:pPr>
      <w:r>
        <w:t xml:space="preserve">Sign-in comes first: if the identity provider (IdP: the sign-in system) is down or compromised, nothing behind it can be reached. For the identity provider and each critical administration console, the organization keeps an emergency credential that works when normal sign-in does not (a </w:t>
      </w:r>
      <w:r>
        <w:rPr>
          <w:b/>
        </w:rPr>
        <w:t>break-glass credential</w:t>
      </w:r>
      <w:r>
        <w:t>), under the Access Control Policy's break-glass rules. The credential does not depend on the identity provider. Its second factor is not tied to one person's phone. It is stored offline alongside the restore credentials and exercised at least annually (Section 9.0). The domain registrar and DNS (domain name system) accounts get the same treatment: they control where the organization's email and services resolve, and most account recovery flows through that email.</w:t>
      </w:r>
    </w:p>
    <w:p>
      <w:pPr>
        <w:pStyle w:val="ListBullet"/>
      </w:pPr>
      <w:r>
        <w:t xml:space="preserve">Backup copies are kept for </w:t>
      </w:r>
      <w:r>
        <w:rPr>
          <w:highlight w:val="yellow"/>
        </w:rPr>
        <w:t>[90 days]</w:t>
      </w:r>
      <w:r>
        <w:t xml:space="preserve"> before they expire through the normal backup cycle; retention of the information itself follows the Data Handling Policy. Corruption is not always found inside that window. For systems where late-discovered corruption would be unacceptable, at least one longer-cycle copy is kept, such as </w:t>
      </w:r>
      <w:r>
        <w:rPr>
          <w:highlight w:val="yellow"/>
        </w:rPr>
        <w:t>[a monthly backup point retained for one year]</w:t>
      </w:r>
      <w:r>
        <w:t>. Where a backup holds the only remaining copy of information under a legal hold, that copy is preserved (restored or exported) before it expires, and rotation then continues, as that policy directs.</w:t>
      </w:r>
    </w:p>
    <w:p>
      <w:pPr>
        <w:pStyle w:val="ListBullet"/>
      </w:pPr>
      <w:r>
        <w:t xml:space="preserve">Restores are tested on two clocks: how often a test runs, and how long until every critical system has had one. At least </w:t>
      </w:r>
      <w:r>
        <w:rPr>
          <w:highlight w:val="yellow"/>
        </w:rPr>
        <w:t xml:space="preserve">[quarterly]</w:t>
      </w:r>
      <w:r>
        <w:t xml:space="preserve">, someone restores real data from backup for a system behind a critical activity into an isolated location, never over the live system, and verifies it is complete and usable, and records how long the restore took against the RTOs it serves and the age of the restored backup point against the RPOs it serves. Set the cadence so that, over a year, these tests reach every critical system at least once. Test results are recorded and failures fixed (Section 9.0).</w:t>
      </w:r>
    </w:p>
    <w:p>
      <w:pPr>
        <w:pStyle w:val="ListBullet"/>
      </w:pPr>
      <w:r>
        <w:t xml:space="preserve">Where an activity's RTO is shorter than any realistic restore, backups alone cannot meet it. For that activity the organization provides a second system, provider, or connection that is already running and can take over (redundancy), sized to what the activity needs.</w:t>
      </w:r>
    </w:p>
    <w:p>
      <w:pPr>
        <w:pStyle w:val="Heading1"/>
      </w:pPr>
      <w:r>
        <w:t xml:space="preserve">7.0 Scenario Runbooks</w:t>
      </w:r>
    </w:p>
    <w:p>
      <w:r>
        <w:t>The runbooks in this section cover the most likely disruptions. A disruption with no runbook is run under the nearest one, plus the first three moves in Section 3.3. Steps run in order unless the Recovery Lead directs otherwise: the Lead may reorder, skip, or adapt steps to fit the disruption, but may not override a safety step, anything the Incident Response Policy owns, or the law. Every recovery ends the same way: stand down deliberately (Section 7.5).</w:t>
      </w:r>
    </w:p>
    <w:p>
      <w:pPr>
        <w:pStyle w:val="Heading2"/>
      </w:pPr>
      <w:r>
        <w:t xml:space="preserve">7.1 Ransomware or Destructive Attack</w:t>
      </w:r>
    </w:p>
    <w:p>
      <w:r>
        <w:t>This is a security incident first: report it and run the Incident Response Policy from the first minute. That policy owns containment, investigation, evidence, and every notification duty. This runbook is the recovery half; the two run in parallel. The response team in the steps below is the team that policy convenes.</w:t>
      </w:r>
    </w:p>
    <w:p>
      <w:r>
        <w:rPr>
          <w:b/>
        </w:rPr>
        <w:t xml:space="preserve">First hour:</w:t>
      </w:r>
    </w:p>
    <w:p>
      <w:pPr>
        <w:pStyle w:val="ListBullet"/>
        <w:numPr>
          <w:ilvl w:val="0"/>
          <w:numId w:val="10"/>
        </w:numPr>
      </w:pPr>
      <w:r>
        <w:t>Check the isolated backup copies (Section 6.0) from a device the response team trusts, never from a machine that may be compromised. Confirm the backup points are still there and unchanged. Keep the copies disconnected from the compromised environment. Identify the most recent backup point believed to be from before the compromise began.</w:t>
      </w:r>
    </w:p>
    <w:p>
      <w:pPr>
        <w:pStyle w:val="ListBullet"/>
        <w:numPr>
          <w:ilvl w:val="0"/>
          <w:numId w:val="10"/>
        </w:numPr>
      </w:pPr>
      <w:r>
        <w:t xml:space="preserve">Pause backup expiry and rotation, so no existing backup point ages out or is overwritten until the response team knows which points are clean.</w:t>
      </w:r>
    </w:p>
    <w:p>
      <w:pPr>
        <w:pStyle w:val="ListBullet"/>
        <w:numPr>
          <w:ilvl w:val="0"/>
          <w:numId w:val="10"/>
        </w:numPr>
      </w:pPr>
      <w:r>
        <w:t xml:space="preserve">Move coordination to the out-of-band channel: assume the attacker can read email and chat until the response team says otherwise.</w:t>
      </w:r>
    </w:p>
    <w:p>
      <w:r>
        <w:rPr>
          <w:b/>
        </w:rPr>
        <w:t xml:space="preserve">First day:</w:t>
      </w:r>
    </w:p>
    <w:p>
      <w:pPr>
        <w:pStyle w:val="ListBullet"/>
        <w:numPr>
          <w:ilvl w:val="0"/>
          <w:numId w:val="11"/>
        </w:numPr>
      </w:pPr>
      <w:r>
        <w:t xml:space="preserve">With the response team, map the damage against Appendix 2: which systems are still trusted, which are lost, and which backup points are clean.</w:t>
      </w:r>
    </w:p>
    <w:p>
      <w:pPr>
        <w:pStyle w:val="ListBullet"/>
        <w:numPr>
          <w:ilvl w:val="0"/>
          <w:numId w:val="11"/>
        </w:numPr>
      </w:pPr>
      <w:r>
        <w:t>If the organization carries cyber insurance, confirm the insurer has been notified as the Incident Response Policy requires. Before committing major restoration spending or outside help, check the insurance cover: some responders and costs need the insurer's approval first.</w:t>
      </w:r>
    </w:p>
    <w:p>
      <w:pPr>
        <w:pStyle w:val="ListBullet"/>
        <w:numPr>
          <w:ilvl w:val="0"/>
          <w:numId w:val="11"/>
        </w:numPr>
      </w:pPr>
      <w:r>
        <w:t xml:space="preserve">Prepare clean ground to restore into: rebuilt systems, a fresh environment, or equipment the response team has cleared. Restoring onto compromised systems wastes the backup.</w:t>
      </w:r>
    </w:p>
    <w:p>
      <w:r>
        <w:rPr>
          <w:b/>
        </w:rPr>
        <w:t xml:space="preserve">Recover:</w:t>
      </w:r>
    </w:p>
    <w:p>
      <w:pPr>
        <w:pStyle w:val="ListBullet"/>
        <w:numPr>
          <w:ilvl w:val="0"/>
          <w:numId w:val="12"/>
        </w:numPr>
      </w:pPr>
      <w:r>
        <w:t>Restore in priority order (Section 5.0). Restore each system only after the response team confirms the target environment and the backup point are clean: an early restore can hand the attacker the recovered environment too.</w:t>
      </w:r>
    </w:p>
    <w:p>
      <w:pPr>
        <w:pStyle w:val="ListBullet"/>
        <w:numPr>
          <w:ilvl w:val="0"/>
          <w:numId w:val="12"/>
        </w:numPr>
      </w:pPr>
      <w:r>
        <w:t xml:space="preserve">With each activity owner, verify the restored data is complete and correct up to the backup point, and record what was lost between that point and the attack.</w:t>
      </w:r>
    </w:p>
    <w:p>
      <w:pPr>
        <w:pStyle w:val="ListBullet"/>
        <w:numPr>
          <w:ilvl w:val="0"/>
          <w:numId w:val="12"/>
        </w:numPr>
      </w:pPr>
      <w:r>
        <w:t xml:space="preserve">Any decision about communicating with or paying the attackers belongs to Executive Management under the Incident Response Policy.</w:t>
      </w:r>
    </w:p>
    <w:p>
      <w:pPr>
        <w:pStyle w:val="Heading2"/>
      </w:pPr>
      <w:r>
        <w:t xml:space="preserve">7.2 Cloud or SaaS Provider Outage</w:t>
      </w:r>
    </w:p>
    <w:p>
      <w:r>
        <w:rPr>
          <w:b/>
        </w:rPr>
        <w:t xml:space="preserve">First hour:</w:t>
      </w:r>
    </w:p>
    <w:p>
      <w:pPr>
        <w:pStyle w:val="ListBullet"/>
        <w:numPr>
          <w:ilvl w:val="0"/>
          <w:numId w:val="13"/>
        </w:numPr>
      </w:pPr>
      <w:r>
        <w:t xml:space="preserve">Confirm the problem is the provider, not the organization: check the provider's status page and support channel, and record the provider's incident reference.</w:t>
      </w:r>
    </w:p>
    <w:p>
      <w:pPr>
        <w:pStyle w:val="ListBullet"/>
        <w:numPr>
          <w:ilvl w:val="0"/>
          <w:numId w:val="13"/>
        </w:numPr>
      </w:pPr>
      <w:r>
        <w:t xml:space="preserve">Identify the affected activities in Appendix 2 and start their interim workarounds.</w:t>
      </w:r>
    </w:p>
    <w:p>
      <w:r>
        <w:rPr>
          <w:b/>
        </w:rPr>
        <w:t xml:space="preserve">First day:</w:t>
      </w:r>
    </w:p>
    <w:p>
      <w:pPr>
        <w:pStyle w:val="ListBullet"/>
        <w:numPr>
          <w:ilvl w:val="0"/>
          <w:numId w:val="14"/>
        </w:numPr>
      </w:pPr>
      <w:r>
        <w:t xml:space="preserve">Get the provider's estimate for restoration and judge it against the affected RTOs. Keep re-checking it; provider estimates slip.</w:t>
      </w:r>
    </w:p>
    <w:p>
      <w:pPr>
        <w:pStyle w:val="ListBullet"/>
        <w:numPr>
          <w:ilvl w:val="0"/>
          <w:numId w:val="14"/>
        </w:numPr>
      </w:pPr>
      <w:r>
        <w:t>If the estimate approaches or exceeds an RTO, Executive Management decides: keep waiting, restore the organization's own backup of the data elsewhere (if the organization keeps its own backup for that service under Section 6.0), or switch to an alternative service. Waiting is a valid choice only when Executive Management decides on it deliberately.</w:t>
      </w:r>
    </w:p>
    <w:p>
      <w:r>
        <w:rPr>
          <w:b/>
        </w:rPr>
        <w:t xml:space="preserve">Recover:</w:t>
      </w:r>
    </w:p>
    <w:p>
      <w:pPr>
        <w:pStyle w:val="ListBullet"/>
        <w:numPr>
          <w:ilvl w:val="0"/>
          <w:numId w:val="15"/>
        </w:numPr>
      </w:pPr>
      <w:r>
        <w:t xml:space="preserve">When the provider recovers, verify data completeness with the activity owners: data saved just before or during the outage may be missing.</w:t>
      </w:r>
    </w:p>
    <w:p>
      <w:pPr>
        <w:pStyle w:val="ListBullet"/>
        <w:numPr>
          <w:ilvl w:val="0"/>
          <w:numId w:val="15"/>
        </w:numPr>
      </w:pPr>
      <w:r>
        <w:t xml:space="preserve">Reconcile anything captured on workarounds (paper, spreadsheets, a temporary tool) back into the normal system.</w:t>
      </w:r>
    </w:p>
    <w:p>
      <w:pPr>
        <w:pStyle w:val="ListBullet"/>
        <w:numPr>
          <w:ilvl w:val="0"/>
          <w:numId w:val="15"/>
        </w:numPr>
      </w:pPr>
      <w:r>
        <w:t xml:space="preserve">Record the outage in the vendor's record under the Vendor Risk Management Policy: how long it lasted against the RTO, and whether the service, or the organization's dependence on it, needs to change. A service that repeatedly fails triggers a re-assessment under that policy.</w:t>
      </w:r>
    </w:p>
    <w:p>
      <w:pPr>
        <w:pStyle w:val="Heading2"/>
      </w:pPr>
      <w:r>
        <w:t xml:space="preserve">7.3 Loss of a Site</w:t>
      </w:r>
    </w:p>
    <w:p>
      <w:r>
        <w:t xml:space="preserve">This runbook covers fire, flood, an extended power or internet outage, and denial of access (for example, authorities closing the area).</w:t>
      </w:r>
    </w:p>
    <w:p>
      <w:r>
        <w:rPr>
          <w:b/>
        </w:rPr>
        <w:t xml:space="preserve">First hour:</w:t>
      </w:r>
    </w:p>
    <w:p>
      <w:pPr>
        <w:pStyle w:val="ListBullet"/>
        <w:numPr>
          <w:ilvl w:val="0"/>
          <w:numId w:val="16"/>
        </w:numPr>
      </w:pPr>
      <w:r>
        <w:t xml:space="preserve">People first: account for everyone, follow the safety and evacuation procedures, and do not re-enter until the authorities allow it.</w:t>
      </w:r>
    </w:p>
    <w:p>
      <w:pPr>
        <w:pStyle w:val="ListBullet"/>
        <w:numPr>
          <w:ilvl w:val="0"/>
          <w:numId w:val="16"/>
        </w:numPr>
      </w:pPr>
      <w:r>
        <w:t>Switch everyone who can to remote work.</w:t>
      </w:r>
    </w:p>
    <w:p>
      <w:r>
        <w:rPr>
          <w:b/>
        </w:rPr>
        <w:t xml:space="preserve">First day:</w:t>
      </w:r>
    </w:p>
    <w:p>
      <w:pPr>
        <w:pStyle w:val="ListBullet"/>
        <w:numPr>
          <w:ilvl w:val="0"/>
          <w:numId w:val="17"/>
        </w:numPr>
      </w:pPr>
      <w:r>
        <w:t xml:space="preserve">From Appendix 2, list what only that site provided: equipment, network, paper records, </w:t>
      </w:r>
      <w:r>
        <w:rPr>
          <w:highlight w:val="yellow"/>
        </w:rPr>
        <w:t xml:space="preserve">[deliveries, mail, and the main phone line]</w:t>
      </w:r>
      <w:r>
        <w:t xml:space="preserve">.</w:t>
      </w:r>
    </w:p>
    <w:p>
      <w:pPr>
        <w:pStyle w:val="ListBullet"/>
        <w:numPr>
          <w:ilvl w:val="0"/>
          <w:numId w:val="17"/>
        </w:numPr>
      </w:pPr>
      <w:r>
        <w:t xml:space="preserve">Arrange the interim: full remote operation where possible, </w:t>
      </w:r>
      <w:r>
        <w:rPr>
          <w:highlight w:val="yellow"/>
        </w:rPr>
        <w:t>[temporary space]</w:t>
      </w:r>
      <w:r>
        <w:t xml:space="preserve"> where not. Redirect </w:t>
      </w:r>
      <w:r>
        <w:rPr>
          <w:highlight w:val="yellow"/>
        </w:rPr>
        <w:t>[mail, deliveries, and the main phone line]</w:t>
      </w:r>
      <w:r>
        <w:t>.</w:t>
      </w:r>
    </w:p>
    <w:p>
      <w:pPr>
        <w:pStyle w:val="ListBullet"/>
        <w:numPr>
          <w:ilvl w:val="0"/>
          <w:numId w:val="17"/>
        </w:numPr>
      </w:pPr>
      <w:r>
        <w:t>Equip staff who lost their only governed device: issue replacement organization-owned devices, or approve personal devices through the Remote Work &amp; Mobile Device Policy's normal enrollment, in Appendix 2 priority order.</w:t>
      </w:r>
    </w:p>
    <w:p>
      <w:pPr>
        <w:pStyle w:val="ListBullet"/>
        <w:numPr>
          <w:ilvl w:val="0"/>
          <w:numId w:val="17"/>
        </w:numPr>
      </w:pPr>
      <w:r>
        <w:t>Notify the insurer and the site contacts in Appendix 1. Photograph and list the damage. Do not dispose of damaged property until the insurer has inspected it or agreed to its disposal.</w:t>
      </w:r>
    </w:p>
    <w:p>
      <w:r>
        <w:rPr>
          <w:b/>
        </w:rPr>
        <w:t xml:space="preserve">Recover:</w:t>
      </w:r>
    </w:p>
    <w:p>
      <w:pPr>
        <w:pStyle w:val="ListBullet"/>
        <w:numPr>
          <w:ilvl w:val="0"/>
          <w:numId w:val="18"/>
        </w:numPr>
      </w:pPr>
      <w:r>
        <w:t xml:space="preserve">Replace or recover equipment in priority order, and restore the systems that lived at the site from backup onto the replacements.</w:t>
      </w:r>
    </w:p>
    <w:p>
      <w:pPr>
        <w:pStyle w:val="ListBullet"/>
        <w:numPr>
          <w:ilvl w:val="0"/>
          <w:numId w:val="18"/>
        </w:numPr>
      </w:pPr>
      <w:r>
        <w:t xml:space="preserve">Assess damaged or inaccessible paper records with their owners, under the Data Handling Policy's retention and disposal rules.</w:t>
      </w:r>
    </w:p>
    <w:p>
      <w:pPr>
        <w:pStyle w:val="ListBullet"/>
        <w:numPr>
          <w:ilvl w:val="0"/>
          <w:numId w:val="18"/>
        </w:numPr>
      </w:pPr>
      <w:r>
        <w:t xml:space="preserve">Executive Management decides whether to return to the site or make the interim arrangement permanent.</w:t>
      </w:r>
    </w:p>
    <w:p>
      <w:pPr>
        <w:pStyle w:val="Heading2"/>
      </w:pPr>
      <w:r>
        <w:t xml:space="preserve">7.4 Sudden Loss of a Key Person</w:t>
      </w:r>
    </w:p>
    <w:p>
      <w:r>
        <w:t xml:space="preserve">This runbook covers a departure without notice, a serious illness, or a death. The first steps happen the day the loss becomes known; after that the work moves in days rather than hours. It is run with care: a recovery step never outranks basic decency toward the person and their family.</w:t>
      </w:r>
    </w:p>
    <w:p>
      <w:r>
        <w:rPr>
          <w:b/>
        </w:rPr>
        <w:t xml:space="preserve">First day:</w:t>
      </w:r>
    </w:p>
    <w:p>
      <w:pPr>
        <w:pStyle w:val="ListBullet"/>
        <w:numPr>
          <w:ilvl w:val="0"/>
          <w:numId w:val="19"/>
        </w:numPr>
      </w:pPr>
      <w:r>
        <w:t xml:space="preserve">Executive Management confirms who takes over the person's duties for now: the alternate named in Appendix 2, or an interim owner it appoints.</w:t>
      </w:r>
    </w:p>
    <w:p>
      <w:pPr>
        <w:pStyle w:val="ListBullet"/>
        <w:numPr>
          <w:ilvl w:val="0"/>
          <w:numId w:val="19"/>
        </w:numPr>
      </w:pPr>
      <w:r>
        <w:t>Secure and preserve, do not delete. The person's accounts are disabled under the Access Control Policy. Anyone who needs their access gets it through that policy's request process, never by signing in as them. Their files, mailbox, and records are preserved while duties transfer.</w:t>
      </w:r>
    </w:p>
    <w:p>
      <w:pPr>
        <w:pStyle w:val="ListBullet"/>
        <w:numPr>
          <w:ilvl w:val="0"/>
          <w:numId w:val="19"/>
        </w:numPr>
      </w:pPr>
      <w:r>
        <w:t>Whoever handles personnel matters (Human Resources, where the organization has it) coordinates these steps, with legal counsel where the person is on medical leave or the departure is contested. Review of the person's files stays limited to business need. Anything plainly personal is set aside, not passed to the successor. For a person expected to return, every step is kept reversible.</w:t>
      </w:r>
    </w:p>
    <w:p>
      <w:r>
        <w:rPr>
          <w:b/>
        </w:rPr>
        <w:t xml:space="preserve">Recover:</w:t>
      </w:r>
    </w:p>
    <w:p>
      <w:pPr>
        <w:pStyle w:val="ListBullet"/>
        <w:numPr>
          <w:ilvl w:val="0"/>
          <w:numId w:val="20"/>
        </w:numPr>
      </w:pPr>
      <w:r>
        <w:t>Go through Appendix 2 and map what only that person held. Recover the access only they held: use the organization's approved secret storage or the Access Control Policy's break-glass rules. Reset what cannot be recovered. Organization accounts only: never reset or take over a personal account of the person, even one used for work; that need goes through legal counsel.</w:t>
      </w:r>
    </w:p>
    <w:p>
      <w:pPr>
        <w:pStyle w:val="ListBullet"/>
        <w:numPr>
          <w:ilvl w:val="0"/>
          <w:numId w:val="20"/>
        </w:numPr>
      </w:pPr>
      <w:r>
        <w:t xml:space="preserve">Hand relationships over: the customers, vendors, and partners they managed are told who their new contact is (Section 8.0 governs anything said outside).</w:t>
      </w:r>
    </w:p>
    <w:p>
      <w:pPr>
        <w:pStyle w:val="ListBullet"/>
      </w:pPr>
      <w:r>
        <w:t>The standing defense is kept year-round: every critical activity names an alternate person in Appendix 2, and no system or credential behind an activity is held by only one person. Any exception is a finding to fix, whether a recovery, a test, or a review uncovers it (Section 9.0).</w:t>
      </w:r>
    </w:p>
    <w:p>
      <w:pPr>
        <w:pStyle w:val="Heading2"/>
      </w:pPr>
      <w:r>
        <w:t xml:space="preserve">7.5 Standing Down</w:t>
      </w:r>
    </w:p>
    <w:p>
      <w:pPr>
        <w:pStyle w:val="ListBullet"/>
      </w:pPr>
      <w:r>
        <w:t xml:space="preserve">Once the owners verify the affected activities are working, and the interim arrangements are wound down or made permanent, the Recovery Lead declares stand-down.</w:t>
      </w:r>
    </w:p>
    <w:p>
      <w:pPr>
        <w:pStyle w:val="ListBullet"/>
      </w:pPr>
      <w:r>
        <w:t>Lasting system changes made during the recovery are recorded under the Change Management Policy after stand-down, as that policy directs.</w:t>
      </w:r>
    </w:p>
    <w:p>
      <w:pPr>
        <w:pStyle w:val="ListBullet"/>
      </w:pPr>
      <w:r>
        <w:t xml:space="preserve">Within </w:t>
      </w:r>
      <w:r>
        <w:rPr>
          <w:highlight w:val="yellow"/>
        </w:rPr>
        <w:t xml:space="preserve">[ten business days]</w:t>
      </w:r>
      <w:r>
        <w:t xml:space="preserve"> of stand-down, the Recovery Lead runs a short review with those involved: what happened, the downtime and data loss measured against the RTOs and RPOs, what worked, and what to change. The findings update this plan (Section 9.0).</w:t>
      </w:r>
    </w:p>
    <w:p>
      <w:pPr>
        <w:pStyle w:val="ListBullet"/>
      </w:pPr>
      <w:r>
        <w:t xml:space="preserve">If the disruption was also a security incident, this review feeds the Incident Response Policy's post-incident review instead of duplicating it.</w:t>
      </w:r>
    </w:p>
    <w:p>
      <w:pPr>
        <w:pStyle w:val="Heading1"/>
      </w:pPr>
      <w:r>
        <w:t xml:space="preserve">8.0 Communications During a Disruption</w:t>
      </w:r>
    </w:p>
    <w:p>
      <w:pPr>
        <w:pStyle w:val="ListBullet"/>
      </w:pPr>
      <w:r>
        <w:t xml:space="preserve">The organization keeps an agreed out-of-band channel: a way to reach everyone that does not depend on the organization's own systems, such as </w:t>
      </w:r>
      <w:r>
        <w:rPr>
          <w:highlight w:val="yellow"/>
        </w:rPr>
        <w:t>[a messaging app group on personal phones, or a phone tree]</w:t>
      </w:r>
      <w:r>
        <w:t>. It is named in Appendix 1, and every tabletop test (the walk-through in Section 9.0) convenes over it, so it works during a real disruption.</w:t>
      </w:r>
    </w:p>
    <w:p>
      <w:pPr>
        <w:pStyle w:val="ListBullet"/>
      </w:pPr>
      <w:r>
        <w:t xml:space="preserve">During an activation, the communications owner updates staff at stated times, even when the update is "no change", and says when the next update will come.</w:t>
      </w:r>
    </w:p>
    <w:p>
      <w:pPr>
        <w:pStyle w:val="ListBullet"/>
      </w:pPr>
      <w:r>
        <w:t>Attackers exploit disruptions to impersonate people. Before acting on an instruction to move money, change payment details, or share credentials, verify it by calling the requester back on a number from Appendix 1, even when the instruction seems to come from the Recovery Lead or Executive Management. A voice or video call can be faked; the Incident Response Policy governs this fraud.</w:t>
      </w:r>
    </w:p>
    <w:p>
      <w:pPr>
        <w:pStyle w:val="ListBullet"/>
      </w:pPr>
      <w:r>
        <w:t>Where a disruption affects what the organization owes customers or partners, the communications owner prepares the message and Executive Management approves it before it goes out. Where Executive Management cannot be reached in time to meet a contractual notice deadline, the Recovery Lead approves the message and reports to Executive Management at the first opportunity.</w:t>
      </w:r>
    </w:p>
    <w:p>
      <w:pPr>
        <w:pStyle w:val="ListBullet"/>
      </w:pPr>
      <w:r>
        <w:t>If the disruption is or may be a security incident, the Incident Response Policy controls every statement about the incident itself: only its executive-approved representative speaks to outside parties about it. The only exceptions are the time-critical operational contacts that policy itself directs: the insurer, the bank or payment provider, and the fraud report to law enforcement.</w:t>
      </w:r>
    </w:p>
    <w:p>
      <w:pPr>
        <w:pStyle w:val="ListBullet"/>
      </w:pPr>
      <w:r>
        <w:t>Appendix 1 holds personal contact details for the people in Section 4.0 so they can be reached when organization systems are down. Those details are collected for this purpose with each person's knowledge. They are used only for tests, activations, and keeping the tree current, and handled under the Data Handling Policy. A person may give any number and channel where they can reliably be reached. The organization provides a work-issued alternative on request, and reimburses personal-device use where the law requires.</w:t>
      </w:r>
    </w:p>
    <w:p>
      <w:pPr>
        <w:pStyle w:val="Heading1"/>
      </w:pPr>
      <w:r>
        <w:t xml:space="preserve">9.0 Testing and Maintenance</w:t>
      </w:r>
    </w:p>
    <w:p>
      <w:r>
        <w:t xml:space="preserve">As the Information Security Policy requires, this plan and the backups behind it are reviewed and tested at least annually.</w:t>
      </w:r>
    </w:p>
    <w:p>
      <w:pPr/>
      <w:r>
        <w:t xml:space="preserve">Each year at minimum, all four of the following:</w:t>
      </w:r>
    </w:p>
    <w:p>
      <w:pPr>
        <w:pStyle w:val="ListBullet"/>
      </w:pPr>
      <w:r>
        <w:t>A tabletop walk-through of at least one runbook: the people in Section 4.0 talk through a scenario step by step, no systems touched. Take a different runbook each year, starting with the ransomware runbook (Section 7.1), until every runbook has been walked through. The walk-through is convened over the out-of-band channel (Section 8.0), so the channel is exercised too. A combined exercise with the Incident Response Policy's annual test satisfies both requirements.</w:t>
      </w:r>
    </w:p>
    <w:p>
      <w:pPr>
        <w:pStyle w:val="ListBullet"/>
      </w:pPr>
      <w:r>
        <w:t xml:space="preserve">The restore tests in Section 6.0.</w:t>
      </w:r>
    </w:p>
    <w:p>
      <w:pPr>
        <w:pStyle w:val="ListBullet"/>
      </w:pPr>
      <w:r>
        <w:t xml:space="preserve">An exercise of the break-glass credentials in Section 6.0: sign in, confirm the second factor works, and rotate them afterward.</w:t>
      </w:r>
    </w:p>
    <w:p>
      <w:pPr>
        <w:pStyle w:val="ListBullet"/>
      </w:pPr>
      <w:r>
        <w:t xml:space="preserve">Where redundancy exists, a test that the takeover actually happens.</w:t>
      </w:r>
    </w:p>
    <w:p>
      <w:pPr/>
      <w:r>
        <w:t xml:space="preserve">And four standing rules:</w:t>
      </w:r>
    </w:p>
    <w:p>
      <w:pPr>
        <w:pStyle w:val="ListBullet"/>
      </w:pPr>
      <w:r>
        <w:t>Every test and every activation is recorded: when it started, what was exercised, who took part, what failed or dragged, and the fixes, each with an owner and a date. For an activation, also record when stand-down was declared.</w:t>
      </w:r>
    </w:p>
    <w:p>
      <w:pPr>
        <w:pStyle w:val="ListBullet"/>
      </w:pPr>
      <w:r>
        <w:t xml:space="preserve">This plan and its appendices are reviewed after every test and every activation; when a critical activity, system, site, or provider changes; when a named person or their contact details change; and at least annually even if nothing seems to have changed. The review is recorded even when it changes nothing, and what it finds is fixed.</w:t>
      </w:r>
    </w:p>
    <w:p>
      <w:pPr>
        <w:pStyle w:val="ListBullet"/>
      </w:pPr>
      <w:r>
        <w:t>Executive Management approves changes to the plan. Two kinds of update take effect immediately and are noted at the next review: contact details in Appendix 1, and a worksheet row's systems, people, or interim workaround. Approving this plan approves that mechanism. Adding or removing a critical activity, reordering the worksheet, or changing an RTO or RPO is a change to the plan and needs Executive Management's approval.</w:t>
      </w:r>
    </w:p>
    <w:p>
      <w:pPr>
        <w:pStyle w:val="ListBullet"/>
      </w:pPr>
      <w:r>
        <w:t xml:space="preserve">Every update replaces the offline and printed copies (Section 3.1) within </w:t>
      </w:r>
      <w:r>
        <w:rPr>
          <w:highlight w:val="yellow"/>
        </w:rPr>
        <w:t xml:space="preserve">[5 business days]</w:t>
      </w:r>
      <w:r>
        <w:t xml:space="preserve">, all of them together.</w:t>
      </w:r>
    </w:p>
    <w:p>
      <w:pPr>
        <w:pStyle w:val="Heading1"/>
      </w:pPr>
      <w:r>
        <w:t xml:space="preserve">10.0 Related Policies and Standards</w:t>
      </w:r>
    </w:p>
    <w:p>
      <w:r>
        <w:t xml:space="preserve">This plan is part of the organization's information security policy set, under the Information Security Policy, and fulfills that policy's requirement to develop and test business continuity and disaster recovery plans. It may be stricter than a policy's minimum (its restore tests in Section 6.0 can run more often than that policy's annual floor, for example); a stricter rule is not a conflict. If this plan contradicts the Information Security Policy, the Information Security Policy prevails.</w:t>
      </w:r>
    </w:p>
    <w:p>
      <w:r>
        <w:t xml:space="preserve">It works alongside these policies:</w:t>
      </w:r>
    </w:p>
    <w:p>
      <w:pPr>
        <w:pStyle w:val="ListBullet"/>
      </w:pPr>
      <w:r>
        <w:t xml:space="preserve">The Incident Response Policy: it runs security incidents; the two run together when an incident disrupts the business.</w:t>
      </w:r>
    </w:p>
    <w:p>
      <w:pPr>
        <w:pStyle w:val="ListBullet"/>
      </w:pPr>
      <w:r>
        <w:t xml:space="preserve">The Data Handling Policy: backup retention, legal holds, and the classification of what this plan's copies hold.</w:t>
      </w:r>
    </w:p>
    <w:p>
      <w:pPr>
        <w:pStyle w:val="ListBullet"/>
      </w:pPr>
      <w:r>
        <w:t xml:space="preserve">The Access Control Policy: disabling accounts, and break-glass access during recovery.</w:t>
      </w:r>
    </w:p>
    <w:p>
      <w:pPr>
        <w:pStyle w:val="ListBullet"/>
      </w:pPr>
      <w:r>
        <w:t xml:space="preserve">The Acceptable Use Policy: everyone's duty to keep organization data in approved, backed-up locations.</w:t>
      </w:r>
    </w:p>
    <w:p>
      <w:pPr>
        <w:pStyle w:val="ListBullet"/>
      </w:pPr>
      <w:r>
        <w:t xml:space="preserve">The Vendor Risk Management Policy: a provider's continuity is assessed before engagement, and outages feed its vendor re-assessments.</w:t>
      </w:r>
    </w:p>
    <w:p>
      <w:pPr>
        <w:pStyle w:val="ListBullet"/>
      </w:pPr>
      <w:r>
        <w:t xml:space="preserve">The Change Management Policy: lasting system changes made during an activation are recorded under it after stand-down, and this plan's restore tests prove its rollback paths.</w:t>
      </w:r>
    </w:p>
    <w:p>
      <w:pPr>
        <w:pStyle w:val="ListBullet"/>
      </w:pPr>
      <w:r>
        <w:t xml:space="preserve">The Encryption Policy: it sets how the backup copies in Section 6.0 are encrypted, and how the restore keys this plan keeps are managed.</w:t>
      </w:r>
    </w:p>
    <w:p>
      <w:pPr>
        <w:pStyle w:val="ListBullet"/>
      </w:pPr>
      <w:r>
        <w:t xml:space="preserve">The Secure Development Policy: the organization's code, hosted version control included, is backed up under Section 6.0's rules.</w:t>
      </w:r>
    </w:p>
    <w:p>
      <w:pPr>
        <w:pStyle w:val="ListBullet"/>
      </w:pPr>
      <w:r>
        <w:t xml:space="preserve">The Remote Work &amp; Mobile Device Policy: remote work is the fallback when a site is lost.</w:t>
      </w:r>
    </w:p>
    <w:p>
      <w:pPr>
        <w:pStyle w:val="ListBullet"/>
      </w:pPr>
      <w:r>
        <w:t xml:space="preserve">The Physical and Environmental Security Policy: it works to prevent the physical and environmental incidents this plan restores operations after.</w:t>
      </w:r>
    </w:p>
    <w:p>
      <w:r>
        <w:t xml:space="preserve">Where any of these does not exist yet, treat it as a roadmap item; this plan applies on its own regardless.</w:t>
      </w:r>
    </w:p>
    <w:p>
      <w:r>
        <w:t xml:space="preserve">At a policy level, this plan puts into practice the business continuity controls of ISO/IEC 27001:2022 Annex A: control 5.29 (information security during disruption), control 5.30 (ICT readiness for business continuity; ICT is information and communication technology), control 8.13 (information backup), and control 8.14 (redundancy of information processing facilities). It supports the Recover function of the NIST Cybersecurity Framework (CSF) 2.0 through its two categories, Incident Recovery Plan Execution (RC.RP) and Incident Recovery Communication (RC.CO), and it puts into practice Control 11 (Data Recovery) of the CIS Critical Security Controls Version 8.1 through the backup requirements of Section 6.0.</w:t>
      </w:r>
    </w:p>
    <w:p>
      <w:r>
        <w:t xml:space="preserve">Organizations that want control-level detail beyond this plan can look to the Contingency Planning (CP) control family of NIST Special Publication 800-53 Revision 5. Organizations that want a certifiable business continuity management system can look to ISO 22301.</w:t>
      </w:r>
    </w:p>
    <w:p>
      <w:pPr>
        <w:pStyle w:val="Heading1"/>
        <w:pageBreakBefore/>
      </w:pPr>
      <w:r>
        <w:t xml:space="preserve">Appendix 1: Contact Tree</w:t>
      </w:r>
    </w:p>
    <w:p>
      <w:r>
        <w:t xml:space="preserve">Fill this in when adopting the plan, keep it current (Section 9.0), and keep a copy with every copy of the plan (Section 3.1). During an activation, work down from the top.</w:t>
      </w:r>
    </w:p>
    <w:tbl>
      <w:tblPr>
        <w:tblStyle w:val="TableGrid"/>
        <w:tblW w:type="auto" w:w="0"/>
        <w:tblLook w:firstColumn="1" w:firstRow="1" w:lastColumn="0" w:lastRow="0" w:noHBand="0" w:noVBand="1" w:val="04A0"/>
      </w:tblPr>
      <w:tblGrid>
        <w:gridCol w:w="2880"/>
        <w:gridCol w:w="3600"/>
        <w:gridCol w:w="4320"/>
      </w:tblGrid>
      <w:tr>
        <w:tc>
          <w:tcPr>
            <w:tcW w:type="dxa" w:w="2880"/>
          </w:tcPr>
          <w:p>
            <w:r>
              <w:rPr>
                <w:b/>
              </w:rPr>
              <w:t xml:space="preserve">Role</w:t>
            </w:r>
          </w:p>
        </w:tc>
        <w:tc>
          <w:tcPr>
            <w:tcW w:type="dxa" w:w="3600"/>
          </w:tcPr>
          <w:p>
            <w:r>
              <w:rPr>
                <w:b/>
              </w:rPr>
              <w:t>Who or what</w:t>
            </w:r>
          </w:p>
        </w:tc>
        <w:tc>
          <w:tcPr>
            <w:tcW w:type="dxa" w:w="4320"/>
          </w:tcPr>
          <w:p>
            <w:r>
              <w:rPr>
                <w:b/>
              </w:rPr>
              <w:t>How to reach or find it</w:t>
            </w:r>
          </w:p>
        </w:tc>
      </w:tr>
      <w:tr>
        <w:tc>
          <w:tcPr>
            <w:tcW w:type="dxa" w:w="2880"/>
          </w:tcPr>
          <w:p>
            <w:r>
              <w:t xml:space="preserve">Recovery Lead</w:t>
            </w:r>
          </w:p>
        </w:tc>
        <w:tc>
          <w:tcPr>
            <w:tcW w:type="dxa" w:w="3600"/>
          </w:tcPr>
          <w:p>
            <w:r>
              <w:rPr>
                <w:highlight w:val="yellow"/>
              </w:rPr>
              <w:t xml:space="preserve">[Name]</w:t>
            </w:r>
          </w:p>
        </w:tc>
        <w:tc>
          <w:tcPr>
            <w:tcW w:type="dxa" w:w="4320"/>
          </w:tcPr>
          <w:p>
            <w:r>
              <w:rPr>
                <w:highlight w:val="yellow"/>
              </w:rPr>
              <w:t xml:space="preserve">[Mobile, personal email]</w:t>
            </w:r>
          </w:p>
        </w:tc>
      </w:tr>
      <w:tr>
        <w:tc>
          <w:tcPr>
            <w:tcW w:type="dxa" w:w="2880"/>
          </w:tcPr>
          <w:p>
            <w:r>
              <w:t xml:space="preserve">Deputy Recovery Lead</w:t>
            </w:r>
          </w:p>
        </w:tc>
        <w:tc>
          <w:tcPr>
            <w:tcW w:type="dxa" w:w="3600"/>
          </w:tcPr>
          <w:p>
            <w:r>
              <w:rPr>
                <w:highlight w:val="yellow"/>
              </w:rPr>
              <w:t xml:space="preserve">[Name]</w:t>
            </w:r>
          </w:p>
        </w:tc>
        <w:tc>
          <w:tcPr>
            <w:tcW w:type="dxa" w:w="4320"/>
          </w:tcPr>
          <w:p>
            <w:r>
              <w:rPr>
                <w:highlight w:val="yellow"/>
              </w:rPr>
              <w:t xml:space="preserve">[Mobile, personal email]</w:t>
            </w:r>
          </w:p>
        </w:tc>
      </w:tr>
      <w:tr>
        <w:tc>
          <w:tcPr>
            <w:tcW w:type="dxa" w:w="2880"/>
          </w:tcPr>
          <w:p>
            <w:r>
              <w:t xml:space="preserve">Information Security Lead (if not the Recovery Lead)</w:t>
            </w:r>
          </w:p>
        </w:tc>
        <w:tc>
          <w:tcPr>
            <w:tcW w:type="dxa" w:w="3600"/>
          </w:tcPr>
          <w:p>
            <w:r>
              <w:rPr>
                <w:highlight w:val="yellow"/>
              </w:rPr>
              <w:t xml:space="preserve">[Name]</w:t>
            </w:r>
          </w:p>
        </w:tc>
        <w:tc>
          <w:tcPr>
            <w:tcW w:type="dxa" w:w="4320"/>
          </w:tcPr>
          <w:p>
            <w:r>
              <w:rPr>
                <w:highlight w:val="yellow"/>
              </w:rPr>
              <w:t xml:space="preserve">[Mobile, personal email]</w:t>
            </w:r>
          </w:p>
        </w:tc>
      </w:tr>
      <w:tr>
        <w:tc>
          <w:tcPr>
            <w:tcW w:type="dxa" w:w="2880"/>
          </w:tcPr>
          <w:p>
            <w:r>
              <w:t xml:space="preserve">Executive Management</w:t>
            </w:r>
          </w:p>
        </w:tc>
        <w:tc>
          <w:tcPr>
            <w:tcW w:type="dxa" w:w="3600"/>
          </w:tcPr>
          <w:p>
            <w:r>
              <w:rPr>
                <w:highlight w:val="yellow"/>
              </w:rPr>
              <w:t xml:space="preserve">[Name(s)]</w:t>
            </w:r>
          </w:p>
        </w:tc>
        <w:tc>
          <w:tcPr>
            <w:tcW w:type="dxa" w:w="4320"/>
          </w:tcPr>
          <w:p>
            <w:r>
              <w:rPr>
                <w:highlight w:val="yellow"/>
              </w:rPr>
              <w:t xml:space="preserve">[Mobile, personal email]</w:t>
            </w:r>
          </w:p>
        </w:tc>
      </w:tr>
      <w:tr>
        <w:tc>
          <w:tcPr>
            <w:tcW w:type="dxa" w:w="2880"/>
          </w:tcPr>
          <w:p>
            <w:r>
              <w:t xml:space="preserve">IT and security operations</w:t>
            </w:r>
          </w:p>
        </w:tc>
        <w:tc>
          <w:tcPr>
            <w:tcW w:type="dxa" w:w="3600"/>
          </w:tcPr>
          <w:p>
            <w:r>
              <w:rPr>
                <w:highlight w:val="yellow"/>
              </w:rPr>
              <w:t xml:space="preserve">[Team or provider]</w:t>
            </w:r>
          </w:p>
        </w:tc>
        <w:tc>
          <w:tcPr>
            <w:tcW w:type="dxa" w:w="4320"/>
          </w:tcPr>
          <w:p>
            <w:r>
              <w:rPr>
                <w:highlight w:val="yellow"/>
              </w:rPr>
              <w:t xml:space="preserve">[Emergency number, account reference]</w:t>
            </w:r>
          </w:p>
        </w:tc>
      </w:tr>
      <w:tr>
        <w:tc>
          <w:tcPr>
            <w:tcW w:type="dxa" w:w="2880"/>
          </w:tcPr>
          <w:p>
            <w:r>
              <w:t>Incident response / forensics firm</w:t>
            </w:r>
          </w:p>
        </w:tc>
        <w:tc>
          <w:tcPr>
            <w:tcW w:type="dxa" w:w="3600"/>
          </w:tcPr>
          <w:p>
            <w:r>
              <w:rPr>
                <w:highlight w:val="yellow"/>
              </w:rPr>
              <w:t>[Firm, retainer or agreement reference]</w:t>
            </w:r>
          </w:p>
        </w:tc>
        <w:tc>
          <w:tcPr>
            <w:tcW w:type="dxa" w:w="4320"/>
          </w:tcPr>
          <w:p>
            <w:r>
              <w:rPr>
                <w:highlight w:val="yellow"/>
              </w:rPr>
              <w:t>[24x7 number]</w:t>
            </w:r>
          </w:p>
        </w:tc>
      </w:tr>
      <w:tr>
        <w:tc>
          <w:tcPr>
            <w:tcW w:type="dxa" w:w="2880"/>
          </w:tcPr>
          <w:p>
            <w:r>
              <w:t xml:space="preserve">Communications owner</w:t>
            </w:r>
          </w:p>
        </w:tc>
        <w:tc>
          <w:tcPr>
            <w:tcW w:type="dxa" w:w="3600"/>
          </w:tcPr>
          <w:p>
            <w:r>
              <w:rPr>
                <w:highlight w:val="yellow"/>
              </w:rPr>
              <w:t xml:space="preserve">[Name]</w:t>
            </w:r>
          </w:p>
        </w:tc>
        <w:tc>
          <w:tcPr>
            <w:tcW w:type="dxa" w:w="4320"/>
          </w:tcPr>
          <w:p>
            <w:r>
              <w:rPr>
                <w:highlight w:val="yellow"/>
              </w:rPr>
              <w:t xml:space="preserve">[Mobile, personal email]</w:t>
            </w:r>
          </w:p>
        </w:tc>
      </w:tr>
      <w:tr>
        <w:tc>
          <w:tcPr>
            <w:tcW w:type="dxa" w:w="2880"/>
          </w:tcPr>
          <w:p>
            <w:r>
              <w:t>Activity owners</w:t>
            </w:r>
          </w:p>
        </w:tc>
        <w:tc>
          <w:tcPr>
            <w:tcW w:type="dxa" w:w="3600"/>
          </w:tcPr>
          <w:p>
            <w:r>
              <w:t>See Appendix 2</w:t>
            </w:r>
          </w:p>
        </w:tc>
        <w:tc>
          <w:tcPr>
            <w:tcW w:type="dxa" w:w="4320"/>
          </w:tcPr>
          <w:p>
            <w:r>
              <w:rPr>
                <w:highlight w:val="yellow"/>
              </w:rPr>
              <w:t>[Where their out-of-band numbers live]</w:t>
            </w:r>
          </w:p>
        </w:tc>
      </w:tr>
      <w:tr>
        <w:tc>
          <w:tcPr>
            <w:tcW w:type="dxa" w:w="2880"/>
          </w:tcPr>
          <w:p>
            <w:r>
              <w:t xml:space="preserve">Out-of-band channel</w:t>
            </w:r>
          </w:p>
        </w:tc>
        <w:tc>
          <w:tcPr>
            <w:tcW w:type="dxa" w:w="3600"/>
          </w:tcPr>
          <w:p>
            <w:r>
              <w:rPr>
                <w:highlight w:val="yellow"/>
              </w:rPr>
              <w:t xml:space="preserve">[The channel, e.g., the group name]</w:t>
            </w:r>
          </w:p>
        </w:tc>
        <w:tc>
          <w:tcPr>
            <w:tcW w:type="dxa" w:w="4320"/>
          </w:tcPr>
          <w:p>
            <w:r>
              <w:rPr>
                <w:highlight w:val="yellow"/>
              </w:rPr>
              <w:t xml:space="preserve">[How to join or start it]</w:t>
            </w:r>
          </w:p>
        </w:tc>
      </w:tr>
      <w:tr>
        <w:tc>
          <w:tcPr>
            <w:tcW w:type="dxa" w:w="2880"/>
          </w:tcPr>
          <w:p>
            <w:r>
              <w:t xml:space="preserve">Key providers</w:t>
            </w:r>
          </w:p>
        </w:tc>
        <w:tc>
          <w:tcPr>
            <w:tcW w:type="dxa" w:w="3600"/>
          </w:tcPr>
          <w:p>
            <w:r>
              <w:rPr>
                <w:highlight w:val="yellow"/>
              </w:rPr>
              <w:t>[Provider, plan or account number; one row per provider, add rows]</w:t>
            </w:r>
          </w:p>
        </w:tc>
        <w:tc>
          <w:tcPr>
            <w:tcW w:type="dxa" w:w="4320"/>
          </w:tcPr>
          <w:p>
            <w:r>
              <w:rPr>
                <w:highlight w:val="yellow"/>
              </w:rPr>
              <w:t xml:space="preserve">[Support line, status page]</w:t>
            </w:r>
          </w:p>
        </w:tc>
      </w:tr>
      <w:tr>
        <w:tc>
          <w:tcPr>
            <w:tcW w:type="dxa" w:w="2880"/>
          </w:tcPr>
          <w:p>
            <w:r>
              <w:t xml:space="preserve">Domain registrar and DNS</w:t>
            </w:r>
          </w:p>
        </w:tc>
        <w:tc>
          <w:tcPr>
            <w:tcW w:type="dxa" w:w="3600"/>
          </w:tcPr>
          <w:p>
            <w:r>
              <w:rPr>
                <w:highlight w:val="yellow"/>
              </w:rPr>
              <w:t xml:space="preserve">[Registrar; DNS provider]</w:t>
            </w:r>
          </w:p>
        </w:tc>
        <w:tc>
          <w:tcPr>
            <w:tcW w:type="dxa" w:w="4320"/>
          </w:tcPr>
          <w:p>
            <w:r>
              <w:rPr>
                <w:highlight w:val="yellow"/>
              </w:rPr>
              <w:t xml:space="preserve">[Support line, account reference]</w:t>
            </w:r>
          </w:p>
        </w:tc>
      </w:tr>
      <w:tr>
        <w:tc>
          <w:tcPr>
            <w:tcW w:type="dxa" w:w="2880"/>
          </w:tcPr>
          <w:p>
            <w:r>
              <w:t xml:space="preserve">Emergency payment method</w:t>
            </w:r>
          </w:p>
        </w:tc>
        <w:tc>
          <w:tcPr>
            <w:tcW w:type="dxa" w:w="3600"/>
          </w:tcPr>
          <w:p>
            <w:r>
              <w:rPr>
                <w:highlight w:val="yellow"/>
              </w:rPr>
              <w:t xml:space="preserve">[Card or account, and who holds it]</w:t>
            </w:r>
          </w:p>
        </w:tc>
        <w:tc>
          <w:tcPr>
            <w:tcW w:type="dxa" w:w="4320"/>
          </w:tcPr>
          <w:p>
            <w:r>
              <w:rPr>
                <w:highlight w:val="yellow"/>
              </w:rPr>
              <w:t xml:space="preserve">[Where it is kept]</w:t>
            </w:r>
          </w:p>
        </w:tc>
      </w:tr>
      <w:tr>
        <w:tc>
          <w:tcPr>
            <w:tcW w:type="dxa" w:w="2880"/>
          </w:tcPr>
          <w:p>
            <w:r>
              <w:t>Break-glass and restore credential store</w:t>
            </w:r>
          </w:p>
        </w:tc>
        <w:tc>
          <w:tcPr>
            <w:tcW w:type="dxa" w:w="3600"/>
          </w:tcPr>
          <w:p>
            <w:r>
              <w:rPr>
                <w:highlight w:val="yellow"/>
              </w:rPr>
              <w:t>[What it holds]</w:t>
            </w:r>
          </w:p>
        </w:tc>
        <w:tc>
          <w:tcPr>
            <w:tcW w:type="dxa" w:w="4320"/>
          </w:tcPr>
          <w:p>
            <w:r>
              <w:rPr>
                <w:highlight w:val="yellow"/>
              </w:rPr>
              <w:t>[Where the sealed or offline store is kept]</w:t>
            </w:r>
          </w:p>
        </w:tc>
      </w:tr>
      <w:tr>
        <w:tc>
          <w:tcPr>
            <w:tcW w:type="dxa" w:w="2880"/>
          </w:tcPr>
          <w:p>
            <w:r>
              <w:t>Insurer (cyber)</w:t>
            </w:r>
          </w:p>
        </w:tc>
        <w:tc>
          <w:tcPr>
            <w:tcW w:type="dxa" w:w="3600"/>
          </w:tcPr>
          <w:p>
            <w:r>
              <w:rPr>
                <w:highlight w:val="yellow"/>
              </w:rPr>
              <w:t xml:space="preserve">[Insurer, policy number]</w:t>
            </w:r>
          </w:p>
        </w:tc>
        <w:tc>
          <w:tcPr>
            <w:tcW w:type="dxa" w:w="4320"/>
          </w:tcPr>
          <w:p>
            <w:r>
              <w:rPr>
                <w:highlight w:val="yellow"/>
              </w:rPr>
              <w:t>[Claims and breach hotline]</w:t>
            </w:r>
          </w:p>
        </w:tc>
      </w:tr>
      <w:tr>
        <w:tc>
          <w:tcPr>
            <w:tcW w:type="dxa" w:w="2880"/>
          </w:tcPr>
          <w:p>
            <w:r>
              <w:t>Insurer (property and other)</w:t>
            </w:r>
          </w:p>
        </w:tc>
        <w:tc>
          <w:tcPr>
            <w:tcW w:type="dxa" w:w="3600"/>
          </w:tcPr>
          <w:p>
            <w:r>
              <w:rPr>
                <w:highlight w:val="yellow"/>
              </w:rPr>
              <w:t>[Insurer, policy number]</w:t>
            </w:r>
          </w:p>
        </w:tc>
        <w:tc>
          <w:tcPr>
            <w:tcW w:type="dxa" w:w="4320"/>
          </w:tcPr>
          <w:p>
            <w:r>
              <w:rPr>
                <w:highlight w:val="yellow"/>
              </w:rPr>
              <w:t>[Claims line]</w:t>
            </w:r>
          </w:p>
        </w:tc>
      </w:tr>
      <w:tr>
        <w:tc>
          <w:tcPr>
            <w:tcW w:type="dxa" w:w="2880"/>
          </w:tcPr>
          <w:p>
            <w:r>
              <w:t xml:space="preserve">Site contacts</w:t>
            </w:r>
          </w:p>
        </w:tc>
        <w:tc>
          <w:tcPr>
            <w:tcW w:type="dxa" w:w="3600"/>
          </w:tcPr>
          <w:p>
            <w:r>
              <w:rPr>
                <w:highlight w:val="yellow"/>
              </w:rPr>
              <w:t xml:space="preserve">[Landlord or facilities, utilities]</w:t>
            </w:r>
          </w:p>
        </w:tc>
        <w:tc>
          <w:tcPr>
            <w:tcW w:type="dxa" w:w="4320"/>
          </w:tcPr>
          <w:p>
            <w:r>
              <w:rPr>
                <w:highlight w:val="yellow"/>
              </w:rPr>
              <w:t xml:space="preserve">[Phone]</w:t>
            </w:r>
          </w:p>
        </w:tc>
      </w:tr>
      <w:tr>
        <w:tc>
          <w:tcPr>
            <w:tcW w:type="dxa" w:w="2880"/>
          </w:tcPr>
          <w:p>
            <w:r>
              <w:t xml:space="preserve">Legal counsel</w:t>
            </w:r>
          </w:p>
        </w:tc>
        <w:tc>
          <w:tcPr>
            <w:tcW w:type="dxa" w:w="3600"/>
          </w:tcPr>
          <w:p>
            <w:r>
              <w:rPr>
                <w:highlight w:val="yellow"/>
              </w:rPr>
              <w:t xml:space="preserve">[Firm and contact]</w:t>
            </w:r>
          </w:p>
        </w:tc>
        <w:tc>
          <w:tcPr>
            <w:tcW w:type="dxa" w:w="4320"/>
          </w:tcPr>
          <w:p>
            <w:r>
              <w:rPr>
                <w:highlight w:val="yellow"/>
              </w:rPr>
              <w:t xml:space="preserve">[Phone, email]</w:t>
            </w:r>
          </w:p>
        </w:tc>
      </w:tr>
    </w:tbl>
    <w:p>
      <w:pPr>
        <w:pStyle w:val="Heading1"/>
      </w:pPr>
      <w:r>
        <w:t xml:space="preserve">Appendix 2: Recovery Priorities Worksheet</w:t>
      </w:r>
    </w:p>
    <w:p>
      <w:r>
        <w:t xml:space="preserve">List the activities the organization cannot do without, in recovery order: if everything failed at once, the top row comes back first. Keep it short, </w:t>
      </w:r>
      <w:r>
        <w:rPr>
          <w:highlight w:val="yellow"/>
        </w:rPr>
        <w:t xml:space="preserve">[five to ten]</w:t>
      </w:r>
      <w:r>
        <w:t xml:space="preserve"> rows: if every activity is listed, none of them is a priority. The first row is a worked example: replace it. Executive Management decides what is on the list and sets the RTOs and RPOs (Section 5.0). Paying staff is almost always on the list; if payroll is missing, make sure that is deliberate.</w:t>
      </w:r>
    </w:p>
    <w:tbl>
      <w:tblPr>
        <w:tblStyle w:val="TableGrid"/>
        <w:tblW w:type="auto" w:w="0"/>
        <w:tblLook w:firstColumn="1" w:firstRow="1" w:lastColumn="0" w:lastRow="0" w:noHBand="0" w:noVBand="1" w:val="04A0"/>
      </w:tblPr>
      <w:tblGrid>
        <w:gridCol w:w="1980"/>
        <w:gridCol w:w="2250"/>
        <w:gridCol w:w="1890"/>
        <w:gridCol w:w="990"/>
        <w:gridCol w:w="990"/>
        <w:gridCol w:w="2700"/>
      </w:tblGrid>
      <w:tr>
        <w:tc>
          <w:tcPr>
            <w:tcW w:type="dxa" w:w="1980"/>
          </w:tcPr>
          <w:p>
            <w:r>
              <w:rPr>
                <w:b/>
              </w:rPr>
              <w:t xml:space="preserve">Critical activity</w:t>
            </w:r>
          </w:p>
        </w:tc>
        <w:tc>
          <w:tcPr>
            <w:tcW w:type="dxa" w:w="2250"/>
          </w:tcPr>
          <w:p>
            <w:r>
              <w:rPr>
                <w:b/>
              </w:rPr>
              <w:t>Systems, providers, and sites it depends on</w:t>
            </w:r>
          </w:p>
        </w:tc>
        <w:tc>
          <w:tcPr>
            <w:tcW w:type="dxa" w:w="1890"/>
          </w:tcPr>
          <w:p>
            <w:r>
              <w:rPr>
                <w:b/>
              </w:rPr>
              <w:t xml:space="preserve">People (owner / alternate)</w:t>
            </w:r>
          </w:p>
        </w:tc>
        <w:tc>
          <w:tcPr>
            <w:tcW w:type="dxa" w:w="990"/>
          </w:tcPr>
          <w:p>
            <w:r>
              <w:rPr>
                <w:b/>
              </w:rPr>
              <w:t xml:space="preserve">RTO</w:t>
            </w:r>
          </w:p>
        </w:tc>
        <w:tc>
          <w:tcPr>
            <w:tcW w:type="dxa" w:w="990"/>
          </w:tcPr>
          <w:p>
            <w:r>
              <w:rPr>
                <w:b/>
              </w:rPr>
              <w:t xml:space="preserve">RPO</w:t>
            </w:r>
          </w:p>
        </w:tc>
        <w:tc>
          <w:tcPr>
            <w:tcW w:type="dxa" w:w="2700"/>
          </w:tcPr>
          <w:p>
            <w:r>
              <w:rPr>
                <w:b/>
              </w:rPr>
              <w:t xml:space="preserve">Interim workaround</w:t>
            </w:r>
          </w:p>
        </w:tc>
      </w:tr>
      <w:tr>
        <w:tc>
          <w:tcPr>
            <w:tcW w:type="dxa" w:w="1980"/>
          </w:tcPr>
          <w:p>
            <w:r>
              <w:rPr>
                <w:highlight w:val="yellow"/>
              </w:rPr>
              <w:t xml:space="preserve">[Example: invoicing and payments]</w:t>
            </w:r>
          </w:p>
        </w:tc>
        <w:tc>
          <w:tcPr>
            <w:tcW w:type="dxa" w:w="2250"/>
          </w:tcPr>
          <w:p>
            <w:r>
              <w:rPr>
                <w:highlight w:val="yellow"/>
              </w:rPr>
              <w:t xml:space="preserve">[Accounting SaaS; bank]</w:t>
            </w:r>
          </w:p>
        </w:tc>
        <w:tc>
          <w:tcPr>
            <w:tcW w:type="dxa" w:w="1890"/>
          </w:tcPr>
          <w:p>
            <w:r>
              <w:rPr>
                <w:highlight w:val="yellow"/>
              </w:rPr>
              <w:t xml:space="preserve">[Name / Name]</w:t>
            </w:r>
          </w:p>
        </w:tc>
        <w:tc>
          <w:tcPr>
            <w:tcW w:type="dxa" w:w="990"/>
          </w:tcPr>
          <w:p>
            <w:r>
              <w:rPr>
                <w:highlight w:val="yellow"/>
              </w:rPr>
              <w:t xml:space="preserve">[24 hours]</w:t>
            </w:r>
          </w:p>
        </w:tc>
        <w:tc>
          <w:tcPr>
            <w:tcW w:type="dxa" w:w="990"/>
          </w:tcPr>
          <w:p>
            <w:r>
              <w:rPr>
                <w:highlight w:val="yellow"/>
              </w:rPr>
              <w:t xml:space="preserve">[24 hours]</w:t>
            </w:r>
          </w:p>
        </w:tc>
        <w:tc>
          <w:tcPr>
            <w:tcW w:type="dxa" w:w="2700"/>
          </w:tcPr>
          <w:p>
            <w:r>
              <w:rPr>
                <w:highlight w:val="yellow"/>
              </w:rPr>
              <w:t xml:space="preserve">[Invoice from the last export by email; log payments on a shared sheet]</w:t>
            </w:r>
          </w:p>
        </w:tc>
      </w:tr>
      <w:tr>
        <w:tc>
          <w:tcPr>
            <w:tcW w:type="dxa" w:w="1980"/>
          </w:tcPr>
          <w:p/>
        </w:tc>
        <w:tc>
          <w:tcPr>
            <w:tcW w:type="dxa" w:w="2250"/>
          </w:tcPr>
          <w:p/>
        </w:tc>
        <w:tc>
          <w:tcPr>
            <w:tcW w:type="dxa" w:w="1890"/>
          </w:tcPr>
          <w:p/>
        </w:tc>
        <w:tc>
          <w:tcPr>
            <w:tcW w:type="dxa" w:w="990"/>
          </w:tcPr>
          <w:p/>
        </w:tc>
        <w:tc>
          <w:tcPr>
            <w:tcW w:type="dxa" w:w="990"/>
          </w:tcPr>
          <w:p/>
        </w:tc>
        <w:tc>
          <w:tcPr>
            <w:tcW w:type="dxa" w:w="2700"/>
          </w:tcPr>
          <w:p/>
        </w:tc>
      </w:tr>
      <w:tr>
        <w:tc>
          <w:tcPr>
            <w:tcW w:type="dxa" w:w="1980"/>
          </w:tcPr>
          <w:p/>
        </w:tc>
        <w:tc>
          <w:tcPr>
            <w:tcW w:type="dxa" w:w="2250"/>
          </w:tcPr>
          <w:p/>
        </w:tc>
        <w:tc>
          <w:tcPr>
            <w:tcW w:type="dxa" w:w="1890"/>
          </w:tcPr>
          <w:p/>
        </w:tc>
        <w:tc>
          <w:tcPr>
            <w:tcW w:type="dxa" w:w="990"/>
          </w:tcPr>
          <w:p/>
        </w:tc>
        <w:tc>
          <w:tcPr>
            <w:tcW w:type="dxa" w:w="990"/>
          </w:tcPr>
          <w:p/>
        </w:tc>
        <w:tc>
          <w:tcPr>
            <w:tcW w:type="dxa" w:w="2700"/>
          </w:tcPr>
          <w:p/>
        </w:tc>
      </w:tr>
      <w:tr>
        <w:tc>
          <w:tcPr>
            <w:tcW w:type="dxa" w:w="1980"/>
          </w:tcPr>
          <w:p/>
        </w:tc>
        <w:tc>
          <w:tcPr>
            <w:tcW w:type="dxa" w:w="2250"/>
          </w:tcPr>
          <w:p/>
        </w:tc>
        <w:tc>
          <w:tcPr>
            <w:tcW w:type="dxa" w:w="1890"/>
          </w:tcPr>
          <w:p/>
        </w:tc>
        <w:tc>
          <w:tcPr>
            <w:tcW w:type="dxa" w:w="990"/>
          </w:tcPr>
          <w:p/>
        </w:tc>
        <w:tc>
          <w:tcPr>
            <w:tcW w:type="dxa" w:w="990"/>
          </w:tcPr>
          <w:p/>
        </w:tc>
        <w:tc>
          <w:tcPr>
            <w:tcW w:type="dxa" w:w="2700"/>
          </w:tcPr>
          <w:p/>
        </w:tc>
      </w:tr>
      <w:tr>
        <w:tc>
          <w:tcPr>
            <w:tcW w:type="dxa" w:w="1980"/>
          </w:tcPr>
          <w:p/>
        </w:tc>
        <w:tc>
          <w:tcPr>
            <w:tcW w:type="dxa" w:w="2250"/>
          </w:tcPr>
          <w:p/>
        </w:tc>
        <w:tc>
          <w:tcPr>
            <w:tcW w:type="dxa" w:w="1890"/>
          </w:tcPr>
          <w:p/>
        </w:tc>
        <w:tc>
          <w:tcPr>
            <w:tcW w:type="dxa" w:w="990"/>
          </w:tcPr>
          <w:p/>
        </w:tc>
        <w:tc>
          <w:tcPr>
            <w:tcW w:type="dxa" w:w="990"/>
          </w:tcPr>
          <w:p/>
        </w:tc>
        <w:tc>
          <w:tcPr>
            <w:tcW w:type="dxa" w:w="2700"/>
          </w:tcP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Business Continuity &amp; Disaster Recovery Plan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abstractNum w:abstractNumId="9">
    <w:nsid w:val="0BCD2026"/>
    <w:multiLevelType w:val="singleLevel"/>
    <w:tmpl w:val="C310EC42"/>
    <w:lvl w:ilvl="0">
      <w:start w:val="1"/>
      <w:numFmt w:val="decimal"/>
      <w:lvlText w:val="%1."/>
      <w:lvlJc w:val="left"/>
      <w:pPr>
        <w:tabs>
          <w:tab w:val="num" w:pos="1800"/>
        </w:tabs>
        <w:ind w:left="180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5087</Words>
  <Characters>27149</Characters>
  <DocSecurity>0</DocSecurity>
  <Lines>179</Lines>
  <Paragraphs>142</Paragraphs>
  <ScaleCrop>false</ScaleCrop>
  <HeadingPairs>
    <vt:vector size="2" baseType="variant">
      <vt:variant>
        <vt:lpstr>Title</vt:lpstr>
      </vt:variant>
      <vt:variant>
        <vt:i4>1</vt:i4>
      </vt:variant>
    </vt:vector>
  </HeadingPairs>
  <TitlesOfParts>
    <vt:vector size="1" baseType="lpstr">
      <vt:lpstr>Business Continuity &amp; Disaster Recovery Plan</vt:lpstr>
    </vt:vector>
  </TitlesOfParts>
  <Manager/>
  <Company>anoBytes Technology Solutions LLC</Company>
  <LinksUpToDate>false</LinksUpToDate>
  <CharactersWithSpaces>32260</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Business Continuity &amp; Disaster Recovery Plan</dc:title>
  <dc:subject>Business continuity &amp; disaster recovery plan template</dc:subject>
  <dc:creator>Nelson Pereira, anoBytes Technology Solutions LLC</dc:creator>
  <cp:keywords>bcdr, bc/dr, rto, rpo, recovery time objective, recovery point objective, immutable, offline copy, tabletop, iso 22301, recovery lead, contact tree, out-of-band, activation, insurer, critical activity, saas provider outage</cp:keywords>
  <dc:description>The recovery companion to our security policy set: who takes charge, what comes back first, tested backups, and runbooks from ransomware to key-person loss. Free to adapt for your organization.</dc:description>
  <cp:lastModifiedBy/>
  <cp:revision>1</cp:revision>
  <dcterms:created xsi:type="dcterms:W3CDTF">2026-07-16T00:00:00Z</dcterms:created>
  <dcterms:modified xsi:type="dcterms:W3CDTF">2026-07-27T09:44:33Z</dcterms:modified>
  <cp:category>Template</cp:category>
</cp:coreProperties>
</file>