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xml:space="preserve">Change Management Policy</w:t>
      </w:r>
    </w:p>
    <w:p>
      <w:r>
        <w:rPr>
          <w:b/>
        </w:rPr>
        <w:t xml:space="preserve">Document Control</w:t>
      </w:r>
    </w:p>
    <w:tbl>
      <w:tblPr>
        <w:tblStyle w:val="TableGrid"/>
        <w:tblW w:type="auto" w:w="0"/>
        <w:tblLook w:firstColumn="1" w:firstRow="1" w:lastColumn="0" w:lastRow="0" w:noHBand="0" w:noVBand="1" w:val="04A0"/>
      </w:tblPr>
      <w:tblGrid>
        <w:gridCol w:w="5400"/>
        <w:gridCol w:w="5400"/>
      </w:tblGrid>
      <w:tr>
        <w:tc>
          <w:tcPr>
            <w:tcW w:type="dxa" w:w="5400"/>
          </w:tcPr>
          <w:p>
            <w:r>
              <w:rPr>
                <w:b/>
              </w:rPr>
              <w:t xml:space="preserve">Document title</w:t>
            </w:r>
          </w:p>
        </w:tc>
        <w:tc>
          <w:tcPr>
            <w:tcW w:type="dxa" w:w="5400"/>
          </w:tcPr>
          <w:p>
            <w:r>
              <w:t xml:space="preserve">Change Management Policy</w:t>
            </w:r>
          </w:p>
        </w:tc>
      </w:tr>
      <w:tr>
        <w:tc>
          <w:tcPr>
            <w:tcW w:type="dxa" w:w="5400"/>
          </w:tcPr>
          <w:p>
            <w:r>
              <w:rPr>
                <w:b/>
              </w:rPr>
              <w:t xml:space="preserve">Version</w:t>
            </w:r>
          </w:p>
        </w:tc>
        <w:tc>
          <w:tcPr>
            <w:tcW w:type="dxa" w:w="5400"/>
          </w:tcPr>
          <w:p>
            <w:r>
              <w:t xml:space="preserve">1.0</w:t>
            </w:r>
          </w:p>
        </w:tc>
      </w:tr>
      <w:tr>
        <w:tc>
          <w:tcPr>
            <w:tcW w:type="dxa" w:w="5400"/>
          </w:tcPr>
          <w:p>
            <w:r>
              <w:rPr>
                <w:b/>
              </w:rPr>
              <w:t xml:space="preserve">Document owner</w:t>
            </w:r>
          </w:p>
        </w:tc>
        <w:tc>
          <w:tcPr>
            <w:tcW w:type="dxa" w:w="5400"/>
          </w:tcPr>
          <w:p>
            <w:r>
              <w:t xml:space="preserve">Information Security Lead</w:t>
            </w:r>
          </w:p>
        </w:tc>
      </w:tr>
      <w:tr>
        <w:tc>
          <w:tcPr>
            <w:tcW w:type="dxa" w:w="5400"/>
          </w:tcPr>
          <w:p>
            <w:r>
              <w:rPr>
                <w:b/>
              </w:rPr>
              <w:t xml:space="preserve">Approved by</w:t>
            </w:r>
          </w:p>
        </w:tc>
        <w:tc>
          <w:tcPr>
            <w:tcW w:type="dxa" w:w="5400"/>
          </w:tcPr>
          <w:p>
            <w:r>
              <w:rPr>
                <w:highlight w:val="yellow"/>
              </w:rPr>
              <w:t xml:space="preserve">[Name and title, e.g., Chief Executive Officer]</w:t>
            </w:r>
          </w:p>
        </w:tc>
      </w:tr>
      <w:tr>
        <w:tc>
          <w:tcPr>
            <w:tcW w:type="dxa" w:w="5400"/>
          </w:tcPr>
          <w:p>
            <w:r>
              <w:rPr>
                <w:b/>
              </w:rPr>
              <w:t xml:space="preserve">Effective date</w:t>
            </w:r>
          </w:p>
        </w:tc>
        <w:tc>
          <w:tcPr>
            <w:tcW w:type="dxa" w:w="5400"/>
          </w:tcPr>
          <w:p>
            <w:r>
              <w:rPr>
                <w:highlight w:val="yellow"/>
              </w:rPr>
              <w:t xml:space="preserve">[Date]</w:t>
            </w:r>
          </w:p>
        </w:tc>
      </w:tr>
      <w:tr>
        <w:tc>
          <w:tcPr>
            <w:tcW w:type="dxa" w:w="5400"/>
          </w:tcPr>
          <w:p>
            <w:r>
              <w:rPr>
                <w:b/>
              </w:rPr>
              <w:t xml:space="preserve">Next review date</w:t>
            </w:r>
          </w:p>
        </w:tc>
        <w:tc>
          <w:tcPr>
            <w:tcW w:type="dxa" w:w="5400"/>
          </w:tcPr>
          <w:p>
            <w:r>
              <w:rPr>
                <w:highlight w:val="yellow"/>
              </w:rPr>
              <w:t xml:space="preserve">[Date, no later than one year after the effective date]</w:t>
            </w:r>
          </w:p>
        </w:tc>
      </w:tr>
      <w:tr>
        <w:tc>
          <w:tcPr>
            <w:tcW w:type="dxa" w:w="5400"/>
          </w:tcPr>
          <w:p>
            <w:r>
              <w:rPr>
                <w:b/>
              </w:rPr>
              <w:t xml:space="preserve">Classification</w:t>
            </w:r>
          </w:p>
        </w:tc>
        <w:tc>
          <w:tcPr>
            <w:tcW w:type="dxa" w:w="5400"/>
          </w:tcPr>
          <w:p>
            <w:r>
              <w:rPr>
                <w:highlight w:val="yellow"/>
              </w:rPr>
              <w:t xml:space="preserve">[e.g., Internal (shareable with customers and auditors on request)]</w:t>
            </w:r>
          </w:p>
        </w:tc>
      </w:tr>
    </w:tbl>
    <w:p>
      <w:r>
        <w:rPr>
          <w:b/>
        </w:rPr>
        <w:t xml:space="preserve">Revision History</w:t>
      </w:r>
    </w:p>
    <w:tbl>
      <w:tblPr>
        <w:tblStyle w:val="TableGrid"/>
        <w:tblW w:type="auto" w:w="0"/>
        <w:tblLook w:firstColumn="1" w:firstRow="1" w:lastColumn="0" w:lastRow="0" w:noHBand="0" w:noVBand="1" w:val="04A0"/>
      </w:tblPr>
      <w:tblGrid>
        <w:gridCol w:w="1440"/>
        <w:gridCol w:w="2520"/>
        <w:gridCol w:w="6840"/>
      </w:tblGrid>
      <w:tr>
        <w:tc>
          <w:tcPr>
            <w:tcW w:type="dxa" w:w="1440"/>
          </w:tcPr>
          <w:p>
            <w:r>
              <w:rPr>
                <w:b/>
              </w:rPr>
              <w:t xml:space="preserve">Version</w:t>
            </w:r>
          </w:p>
        </w:tc>
        <w:tc>
          <w:tcPr>
            <w:tcW w:type="dxa" w:w="2520"/>
          </w:tcPr>
          <w:p>
            <w:r>
              <w:rPr>
                <w:b/>
              </w:rPr>
              <w:t xml:space="preserve">Date</w:t>
            </w:r>
          </w:p>
        </w:tc>
        <w:tc>
          <w:tcPr>
            <w:tcW w:type="dxa" w:w="6840"/>
          </w:tcPr>
          <w:p>
            <w:r>
              <w:rPr>
                <w:b/>
              </w:rPr>
              <w:t xml:space="preserve">Summary of changes</w:t>
            </w:r>
          </w:p>
        </w:tc>
      </w:tr>
      <w:tr>
        <w:tc>
          <w:tcPr>
            <w:tcW w:type="dxa" w:w="1440"/>
          </w:tcPr>
          <w:p>
            <w:r>
              <w:t xml:space="preserve">1.0</w:t>
            </w:r>
          </w:p>
        </w:tc>
        <w:tc>
          <w:tcPr>
            <w:tcW w:type="dxa" w:w="2520"/>
          </w:tcPr>
          <w:p>
            <w:r>
              <w:rPr>
                <w:highlight w:val="yellow"/>
              </w:rPr>
              <w:t xml:space="preserve">[Date]</w:t>
            </w:r>
          </w:p>
        </w:tc>
        <w:tc>
          <w:tcPr>
            <w:tcW w:type="dxa" w:w="6840"/>
          </w:tcPr>
          <w:p>
            <w:r>
              <w:t xml:space="preserve">Initial version.</w:t>
            </w:r>
          </w:p>
        </w:tc>
      </w:tr>
    </w:tbl>
    <w:p>
      <w:pPr>
        <w:pStyle w:val="Heading1"/>
      </w:pPr>
      <w:r>
        <w:t xml:space="preserve">1.0 Purpose</w:t>
      </w:r>
    </w:p>
    <w:p>
      <w:r>
        <w:t xml:space="preserve">This policy defines how </w:t>
      </w:r>
      <w:r>
        <w:rPr>
          <w:highlight w:val="yellow"/>
        </w:rPr>
        <w:t xml:space="preserve">[Company Name]</w:t>
      </w:r>
      <w:r>
        <w:t xml:space="preserve"> ("the organization") changes its systems (software releases, upgrades, configuration, network changes) without breaking what works or quietly weakening what protects it.</w:t>
      </w:r>
    </w:p>
    <w:p>
      <w:r>
        <w:t>This policy is a supporting policy of the organization's Information Security Policy, and it is the change management process the Information Security Policy requires system changes to follow. It also defines the change routes (the three change types in Section 3.1) that the Vulnerability Management Policy uses for patching. It gives effect to the change management control of ISO/IEC 27001:2022 Annex A and the corresponding outcomes of the NIST Cybersecurity Framework (CSF) 2.0 (see Section 9.0).</w:t>
      </w:r>
    </w:p>
    <w:p>
      <w:pPr>
        <w:pStyle w:val="Heading1"/>
      </w:pPr>
      <w:r>
        <w:t xml:space="preserve">2.0 Scope</w:t>
      </w:r>
    </w:p>
    <w:p>
      <w:r>
        <w:t xml:space="preserve">This policy applies to changes to the organization's live, in-use systems (production systems) and the infrastructure behind them, wherever they are hosted: servers, cloud services and their configuration, network equipment, business applications, and security tooling.</w:t>
      </w:r>
    </w:p>
    <w:p>
      <w:r>
        <w:t xml:space="preserve">A change is anything that alters how a production system works, is configured, or is protected. Using a system through its normal functions (entering data, editing the content it exists to hold, running reports) is not a change. Altering configuration, code, infrastructure, or a security setting is a change, however routine it feels. When in doubt, treat the work as a change.</w:t>
      </w:r>
    </w:p>
    <w:p>
      <w:r>
        <w:t xml:space="preserve">Changes made to the organization's systems by a service provider follow this process; the provider's own change approval does not replace the organization's. Changes a vendor makes to a service the organization uses but does not control are outside this process. For those, the organization reviews the vendor's change notices for </w:t>
      </w:r>
      <w:r>
        <w:rPr>
          <w:highlight w:val="yellow"/>
        </w:rPr>
        <w:t xml:space="preserve">[its important services]</w:t>
      </w:r>
      <w:r>
        <w:t xml:space="preserve">: at minimum, the services its important systems depend on (Section 3.3 defines an important system). Where a notice means the organization must act, it starts a change record for that work. Notices are checked at the </w:t>
      </w:r>
      <w:r>
        <w:rPr>
          <w:highlight w:val="yellow"/>
        </w:rPr>
        <w:t xml:space="preserve">[monthly]</w:t>
      </w:r>
      <w:r>
        <w:t xml:space="preserve"> review, and the check is recorded.</w:t>
      </w:r>
    </w:p>
    <w:p>
      <w:r>
        <w:t xml:space="preserve">Some neighboring work has its own process. Granting or removing access (a person's, a service account's, or an integration's) follows the Access Control Policy. User devices follow the Remote Work &amp; Mobile Device Policy. During an incident, the response team's own containment and response actions follow the Incident Response Policy; during a Business Continuity &amp; Disaster Recovery Plan activation, they follow that plan.</w:t>
      </w:r>
    </w:p>
    <w:p>
      <w:r>
        <w:t xml:space="preserve">Lasting system changes from incident or activation work are recorded under this policy by whoever made them, within </w:t>
      </w:r>
      <w:r>
        <w:rPr>
          <w:highlight w:val="yellow"/>
        </w:rPr>
        <w:t xml:space="preserve">[2 business days]</w:t>
      </w:r>
      <w:r>
        <w:t xml:space="preserve"> of the incident closing or the plan standing down (the same window as the emergency record, Section 3.5). Where response work needs a change that would otherwise take the normal route, it runs as an emergency change instead (Section 3.5).</w:t>
      </w:r>
    </w:p>
    <w:p>
      <w:pPr>
        <w:pStyle w:val="Heading1"/>
      </w:pPr>
      <w:r>
        <w:t xml:space="preserve">3.0 Policy Statements</w:t>
      </w:r>
    </w:p>
    <w:p>
      <w:r>
        <w:t>Throughout this policy, a statement of what the organization or its people do ("is encrypted", "are recorded") is a requirement, as are "must", "shall", and direct instructions such as "use only" or "never". The words "may" and "is acceptable" mark a permission. Where a requirement needs a planned deviation, Section 6.0 describes how to request an exception. Text in square brackets marks a decision to make when adopting this policy: a placeholder to fill in, a starting value to set, or a passage to review and then keep, adapt, or delete. Remove the brackets after each decision.</w:t>
      </w:r>
    </w:p>
    <w:p>
      <w:pPr>
        <w:pStyle w:val="Heading2"/>
      </w:pPr>
      <w:r>
        <w:t xml:space="preserve">3.1 Change Types</w:t>
      </w:r>
    </w:p>
    <w:p>
      <w:pPr>
        <w:pStyle w:val="ListBullet"/>
      </w:pPr>
      <w:r>
        <w:t xml:space="preserve">Every change is one of three types, summarized in Appendix 1. A </w:t>
      </w:r>
      <w:r>
        <w:rPr>
          <w:b/>
        </w:rPr>
        <w:t>standard change</w:t>
      </w:r>
      <w:r>
        <w:t xml:space="preserve"> is a change on the pre-approved standard change list: low-risk, repeatable, and run from a documented procedure (routine automated patching under the Vulnerability Management Policy is the textbook example; security-tool definition updates and a like-for-like hardware swap fit too). A </w:t>
      </w:r>
      <w:r>
        <w:rPr>
          <w:b/>
        </w:rPr>
        <w:t>normal change</w:t>
      </w:r>
      <w:r>
        <w:t xml:space="preserve"> is everything that is neither standard nor an emergency: it is assessed and approved before it is made. An </w:t>
      </w:r>
      <w:r>
        <w:rPr>
          <w:b/>
        </w:rPr>
        <w:t>emergency change</w:t>
      </w:r>
      <w:r>
        <w:t xml:space="preserve"> fixes something that cannot wait (Section 3.5).</w:t>
      </w:r>
    </w:p>
    <w:p>
      <w:pPr>
        <w:pStyle w:val="ListBullet"/>
      </w:pPr>
      <w:r>
        <w:t xml:space="preserve">The Information Security Lead maintains the standard change list and reviews it at least </w:t>
      </w:r>
      <w:r>
        <w:rPr>
          <w:highlight w:val="yellow"/>
        </w:rPr>
        <w:t>[annually]</w:t>
      </w:r>
      <w:r>
        <w:t>. The list is kept with the change records (Section 4.0). A change joins the list only when the change approver (Section 3.2) and the Information Security Lead agree it is low-risk, repeatable, and documented. Where the two would be the same person, or one of them is the only person who will run the change, Executive Management confirms the addition. A standard change needs no per-change approval, but it still leaves a log entry. A standard change that starts causing problems comes off the list until its procedure is fixed.</w:t>
      </w:r>
    </w:p>
    <w:p>
      <w:pPr>
        <w:pStyle w:val="Heading2"/>
      </w:pPr>
      <w:r>
        <w:t xml:space="preserve">3.2 Requesting, Assessing, and Approving</w:t>
      </w:r>
    </w:p>
    <w:p>
      <w:pPr>
        <w:pStyle w:val="ListBullet"/>
      </w:pPr>
      <w:r>
        <w:t xml:space="preserve">Every normal change starts as a </w:t>
      </w:r>
      <w:r>
        <w:rPr>
          <w:b/>
        </w:rPr>
        <w:t>change record</w:t>
      </w:r>
      <w:r>
        <w:t>: what will change, why, the systems affected, the risk if it goes wrong, how it will be tested, the plan for undoing it (the rollback plan), who will make it, and when it will happen. Once approved, the record also says who approved it and when.</w:t>
      </w:r>
    </w:p>
    <w:p>
      <w:pPr>
        <w:pStyle w:val="ListBullet"/>
      </w:pPr>
      <w:r>
        <w:t>Where changes reach production through a version-controlled release path that builds, tests, and deploys them (a pipeline), the request to merge a change, with its recorded review (the merge request), is the change record. Approval by a reviewer who did not write the change satisfies the approval requirement. Release through the approved pipeline (the deploy step that follows an approved merge) may join the standard change list (Section 3.1); each change's merge request and review are still required.</w:t>
      </w:r>
    </w:p>
    <w:p>
      <w:pPr>
        <w:pStyle w:val="ListBullet"/>
      </w:pPr>
      <w:r>
        <w:t xml:space="preserve">The merge request carries the record's fields (the risk, the rollback, the timing), and the rest of this section still applies to it: the reviewer checks any declared change freeze (a period when only emergency and, unless the declaration says otherwise, listed standard changes run), and a change with significant business risk (major downtime, a core system, an irreversible step) still goes to Executive Management.</w:t>
      </w:r>
    </w:p>
    <w:p>
      <w:pPr>
        <w:pStyle w:val="ListBullet"/>
      </w:pPr>
      <w:r>
        <w:t>Assessment asks the security questions alongside the operational ones: does the change touch access, encryption, logging, backups, or what the internet can reach? A change that would weaken or switch off a protection is not approved until the Information Security Lead agrees, or Executive Management accepts the risk in writing. A risk accepted this way goes to the Information Security Policy's risk process.</w:t>
      </w:r>
    </w:p>
    <w:p>
      <w:pPr>
        <w:pStyle w:val="ListBullet"/>
      </w:pPr>
      <w:r>
        <w:t>Assessment also asks what the organization has promised: where a contract requires telling customers before a material (contractually significant) change to the service or its security measures, that notice is part of the change plan (the Information Security Policy's record of contractual requirements says where this applies).</w:t>
      </w:r>
    </w:p>
    <w:p>
      <w:pPr>
        <w:pStyle w:val="ListBullet"/>
      </w:pPr>
      <w:r>
        <w:t xml:space="preserve">A change is approved before it is made, and never by the person making it. A change a tool or an AI agent makes or writes counts as made and written by the person who directed it. The change approver (</w:t>
      </w:r>
      <w:r>
        <w:rPr>
          <w:highlight w:val="yellow"/>
        </w:rPr>
        <w:t xml:space="preserve">[the head of IT or the Information Security Lead]</w:t>
      </w:r>
      <w:r>
        <w:t xml:space="preserve">) approves normal changes. Before approving, the approver checks the planned timing against other approved changes and any declared freeze.</w:t>
      </w:r>
    </w:p>
    <w:p>
      <w:pPr>
        <w:pStyle w:val="ListBullet"/>
      </w:pPr>
      <w:r>
        <w:t xml:space="preserve">A change that carries significant business risk goes to Executive Management. In a small organization one person may approve most changes; at any size, the person who makes a change and the person who approves it are two different people. Where the organization is too small for a second internal approver, name an external one; the deputy named under the Information Security Policy may be a qualified external provider. Set that threshold to match the written definition of a significant change Executive Management keeps under the Information Security Policy.</w:t>
      </w:r>
    </w:p>
    <w:p>
      <w:pPr>
        <w:pStyle w:val="ListBullet"/>
      </w:pPr>
      <w:r>
        <w:t xml:space="preserve">The approver does not have to be a technical person: judging the risk and the rollback plan does not require understanding every technical detail. Where the change approver is the person making the change, or is unavailable, </w:t>
      </w:r>
      <w:r>
        <w:rPr>
          <w:highlight w:val="yellow"/>
        </w:rPr>
        <w:t xml:space="preserve">[the Information Security Lead or a member of Executive Management]</w:t>
      </w:r>
      <w:r>
        <w:t xml:space="preserve"> approves against the change record.</w:t>
      </w:r>
    </w:p>
    <w:p>
      <w:pPr>
        <w:pStyle w:val="ListBullet"/>
      </w:pPr>
      <w:r>
        <w:t xml:space="preserve">Executive Management may declare a </w:t>
      </w:r>
      <w:r>
        <w:rPr>
          <w:b/>
        </w:rPr>
        <w:t>change freeze</w:t>
      </w:r>
      <w:r>
        <w:t>: a period (for example, over year-end or a peak season) when only emergency changes and, unless the declaration says otherwise, listed standard changes run. Executive Management decides when the freeze ends. During a freeze, a fix needed to meet the Vulnerability Management Policy's timeframes runs as an emergency change. The one alternative is for Executive Management to accept the missed timeframe in writing when it declares the freeze, recorded under the Information Security Policy's risk process. Either way, that policy's compensating measures still apply while a fix waits.</w:t>
      </w:r>
    </w:p>
    <w:p>
      <w:pPr>
        <w:pStyle w:val="Heading2"/>
      </w:pPr>
      <w:r>
        <w:t xml:space="preserve">3.3 Testing, Rollback, and Separation</w:t>
      </w:r>
    </w:p>
    <w:p>
      <w:pPr>
        <w:pStyle w:val="ListBullet"/>
      </w:pPr>
      <w:r>
        <w:t>A change is tested before it reaches production wherever a separate practice copy of the system (a test environment) or a small first group of users (a pilot group) exists. The change record says which was used, or that none exists. Where none exists, the rollback plan is the main safeguard: the approver checks it more closely, and the change is scheduled where failure hurts least.</w:t>
      </w:r>
    </w:p>
    <w:p>
      <w:pPr>
        <w:pStyle w:val="ListBullet"/>
      </w:pPr>
      <w:r>
        <w:t xml:space="preserve">No change is approved without a rollback plan. For a step that cannot be undone, a written recovery path takes the rollback plan's place: what will be done if the step fails (restore, rebuild, or repair). A step that cannot be undone is also part of what makes a change significant business risk under Section 3.2.</w:t>
      </w:r>
    </w:p>
    <w:p>
      <w:pPr>
        <w:pStyle w:val="ListBullet"/>
      </w:pPr>
      <w:r>
        <w:t xml:space="preserve">Two kinds of change on an important system need a safety copy first: a change with significant business risk (Section 3.2), and a change its own record rates high-risk. An important system is one a critical activity depends on (the asset inventory marks these), or one holding Confidential information under the Data Handling Policy. Before such a change, a point-in-time copy of the system (a snapshot) or a verified backup is taken. The Vulnerability Management Policy requires the same before a major or risky patch.</w:t>
      </w:r>
    </w:p>
    <w:p>
      <w:pPr>
        <w:pStyle w:val="ListBullet"/>
      </w:pPr>
      <w:r>
        <w:t>Where the organization develops software or configuration, development and test work happens apart from production, and the finished change reaches production only through this process.</w:t>
      </w:r>
    </w:p>
    <w:p>
      <w:pPr>
        <w:pStyle w:val="Heading2"/>
      </w:pPr>
      <w:r>
        <w:t xml:space="preserve">3.4 Making and Closing Changes</w:t>
      </w:r>
    </w:p>
    <w:p>
      <w:pPr>
        <w:pStyle w:val="ListBullet"/>
      </w:pPr>
      <w:r>
        <w:t>Planned changes that can interrupt service run in agreed time slots set aside for disruptive work (</w:t>
      </w:r>
      <w:r>
        <w:rPr>
          <w:b/>
        </w:rPr>
        <w:t>maintenance windows</w:t>
      </w:r>
      <w:r>
        <w:t xml:space="preserve">). The people affected are told as soon as the window is agreed, and at least </w:t>
      </w:r>
      <w:r>
        <w:rPr>
          <w:highlight w:val="yellow"/>
        </w:rPr>
        <w:t>[3 business days]</w:t>
      </w:r>
      <w:r>
        <w:t xml:space="preserve"> before planned service-interrupting work.</w:t>
      </w:r>
    </w:p>
    <w:p>
      <w:pPr>
        <w:pStyle w:val="ListBullet"/>
      </w:pPr>
      <w:r>
        <w:t xml:space="preserve">After a normal or emergency change, whoever made it verifies the result, updates any documentation the change made inaccurate (the asset inventory, diagrams, runbooks), and closes the record: it worked, it was rolled back, or part of it took effect and the record says what remains. A failed change is reviewed at the next </w:t>
      </w:r>
      <w:r>
        <w:rPr>
          <w:highlight w:val="yellow"/>
        </w:rPr>
        <w:t>[monthly]</w:t>
      </w:r>
      <w:r>
        <w:t xml:space="preserve"> operations review (Section 3.5) for what the assessment missed; where the failure caused a security incident that gets a post-incident review under the Incident Response Policy, the failed-change review folds into the post-incident review rather than running separately.</w:t>
      </w:r>
    </w:p>
    <w:p>
      <w:pPr>
        <w:pStyle w:val="ListBullet"/>
      </w:pPr>
      <w:r>
        <w:t xml:space="preserve">A change made outside this process is an </w:t>
      </w:r>
      <w:r>
        <w:rPr>
          <w:b/>
        </w:rPr>
        <w:t>unauthorized change</w:t>
      </w:r>
      <w:r>
        <w:t xml:space="preserve"> and a violation (Section 8.0). When one is found, it is reviewed like an emergency change after the fact: kept or rolled back deliberately, and recorded either way. An unauthorized change with no known maker is treated as a suspected security incident under the Incident Response Policy until shown otherwise. An honest wrong call on whether work counted as a change (the Section 2.0 boundary), reported when noticed, is treated under Section 7.0; a concealed one is not. For the first </w:t>
      </w:r>
      <w:r>
        <w:rPr>
          <w:highlight w:val="yellow"/>
        </w:rPr>
        <w:t xml:space="preserve">[90 days]</w:t>
      </w:r>
      <w:r>
        <w:t xml:space="preserve"> after adoption, a change made without its record is corrected by filing the record, and the gap is noted at the next review rather than treated as a violation.</w:t>
      </w:r>
    </w:p>
    <w:p>
      <w:pPr>
        <w:pStyle w:val="Heading2"/>
      </w:pPr>
      <w:r>
        <w:t xml:space="preserve">3.5 Emergency Changes</w:t>
      </w:r>
    </w:p>
    <w:p>
      <w:pPr>
        <w:pStyle w:val="ListBullet"/>
      </w:pPr>
      <w:r>
        <w:t xml:space="preserve">An emergency change fixes something that cannot wait for normal approval: an outage, a Critical or actively exploited vulnerability (Vulnerability Management Policy), a fix that incident response needs now, or a fix that must run during a change freeze (Section 3.2). Approval is verbal or by message, from the change approver or the Information Security Lead. It comes from someone other than the person making the fix. Where the change approver and the Information Security Lead would both be the person making the fix, </w:t>
      </w:r>
      <w:r>
        <w:rPr>
          <w:highlight w:val="yellow"/>
        </w:rPr>
        <w:t>[the deputy named under the Information Security Policy]</w:t>
      </w:r>
      <w:r>
        <w:t xml:space="preserve"> approves. The change record is completed within </w:t>
      </w:r>
      <w:r>
        <w:rPr>
          <w:highlight w:val="yellow"/>
        </w:rPr>
        <w:t>[2 business days]</w:t>
      </w:r>
      <w:r>
        <w:t xml:space="preserve"> of the change (keep this value matched to the Vulnerability Management Policy). It names who approved the change and when.</w:t>
      </w:r>
    </w:p>
    <w:p>
      <w:pPr>
        <w:pStyle w:val="ListBullet"/>
      </w:pPr>
      <w:r>
        <w:t xml:space="preserve">A message approval is kept with the record; a verbal one is written into it.</w:t>
      </w:r>
    </w:p>
    <w:p>
      <w:pPr>
        <w:pStyle w:val="ListBullet"/>
      </w:pPr>
      <w:r>
        <w:t>When harm is ongoing or imminent and no approver can be reached, whoever is responding acts, notes in the record who was tried, and informs an approver at the first opportunity. Acting in that situation follows this policy; skipping the attempt to reach an approver does not.</w:t>
      </w:r>
    </w:p>
    <w:p>
      <w:pPr>
        <w:pStyle w:val="ListBullet"/>
      </w:pPr>
      <w:r>
        <w:t xml:space="preserve">Every emergency change is reviewed at the next </w:t>
      </w:r>
      <w:r>
        <w:rPr>
          <w:highlight w:val="yellow"/>
        </w:rPr>
        <w:t>[monthly]</w:t>
      </w:r>
      <w:r>
        <w:t xml:space="preserve"> operations review: was it truly an emergency, did it work, and does anything need to be redone properly. The operations review is any standing meeting where IT work is reviewed; set one value for this review everywhere this policy cites it. Where no such meeting exists, the Information Security Lead reviews emergency changes within </w:t>
      </w:r>
      <w:r>
        <w:rPr>
          <w:highlight w:val="yellow"/>
        </w:rPr>
        <w:t>[one month]</w:t>
      </w:r>
      <w:r>
        <w:t>. Emergencies that keep recurring are a signal the normal path is too slow; fix the normal path so those changes no longer need to be handled as emergencies.</w:t>
      </w:r>
    </w:p>
    <w:p>
      <w:pPr>
        <w:pStyle w:val="Heading1"/>
      </w:pPr>
      <w:r>
        <w:t xml:space="preserve">4.0 Roles and Responsibilities</w:t>
      </w:r>
    </w:p>
    <w:p>
      <w:pPr>
        <w:pStyle w:val="ListBullet"/>
      </w:pPr>
      <w:r>
        <w:rPr>
          <w:b/>
        </w:rPr>
        <w:t>The Information Security Lead</w:t>
      </w:r>
      <w:r>
        <w:t xml:space="preserve"> owns this policy, maintains the standard change list (Section 3.1), agrees to or escalates changes that would weaken a protection (Section 3.2), joins the </w:t>
      </w:r>
      <w:r>
        <w:rPr>
          <w:highlight w:val="yellow"/>
        </w:rPr>
        <w:t>[monthly]</w:t>
      </w:r>
      <w:r>
        <w:t xml:space="preserve"> operations review of emergency and failed changes, and takes proposed updates of this policy to Executive Management for approval.</w:t>
      </w:r>
    </w:p>
    <w:p>
      <w:pPr>
        <w:pStyle w:val="ListBullet"/>
      </w:pPr>
      <w:r>
        <w:rPr>
          <w:b/>
        </w:rPr>
        <w:t>The change approver</w:t>
      </w:r>
      <w:r>
        <w:t xml:space="preserve"> (</w:t>
      </w:r>
      <w:r>
        <w:rPr>
          <w:highlight w:val="yellow"/>
        </w:rPr>
        <w:t>[the head of IT or the Information Security Lead]</w:t>
      </w:r>
      <w:r>
        <w:t xml:space="preserve">) approves normal changes and keeps the change records in </w:t>
      </w:r>
      <w:r>
        <w:rPr>
          <w:highlight w:val="yellow"/>
        </w:rPr>
        <w:t>[the ticketing system or log the organization uses]</w:t>
      </w:r>
      <w:r>
        <w:t>, retained under the Data Handling Policy's retention schedule.</w:t>
      </w:r>
    </w:p>
    <w:p>
      <w:pPr>
        <w:pStyle w:val="ListBullet"/>
      </w:pPr>
      <w:r>
        <w:rPr>
          <w:b/>
        </w:rPr>
        <w:t>IT, or the organization's service provider</w:t>
      </w:r>
      <w:r>
        <w:t>, carries out changes as approved. Security operations, with IT, watches for unauthorized changes where tooling allows. Security operations also proves that rollback plans that depend on restoring a backup will work, by testing restores under the Business Continuity &amp; Disaster Recovery Plan's rules.</w:t>
      </w:r>
    </w:p>
    <w:p>
      <w:pPr>
        <w:pStyle w:val="ListBullet"/>
      </w:pPr>
      <w:r>
        <w:rPr>
          <w:b/>
        </w:rPr>
        <w:t>System owners</w:t>
      </w:r>
      <w:r>
        <w:t xml:space="preserve"> (the owners the Information Security Policy's asset inventory assigns) agree the maintenance windows for their systems, review vendor change notices for their services (Section 2.0), and confirm the system works after a change.</w:t>
      </w:r>
    </w:p>
    <w:p>
      <w:pPr>
        <w:pStyle w:val="ListBullet"/>
      </w:pPr>
      <w:r>
        <w:rPr>
          <w:b/>
        </w:rPr>
        <w:t>Everyone</w:t>
      </w:r>
      <w:r>
        <w:t xml:space="preserve"> makes changes only through this process, and reports unauthorized or unrecorded changes promptly (Section 7.0).</w:t>
      </w:r>
    </w:p>
    <w:p>
      <w:pPr>
        <w:pStyle w:val="Heading1"/>
      </w:pPr>
      <w:r>
        <w:t xml:space="preserve">5.0 Policy Review and Updates</w:t>
      </w:r>
    </w:p>
    <w:p>
      <w:r>
        <w:t xml:space="preserve">This policy shall be reviewed at least annually, and sooner when the business, technology, regulations, or the threat environment change significantly. The Information Security Lead starts the review, and Executive Management approves changes before they take effect, following the review process in the Information Security Policy.</w:t>
      </w:r>
    </w:p>
    <w:p>
      <w:pPr>
        <w:pStyle w:val="Heading1"/>
      </w:pPr>
      <w:r>
        <w:t xml:space="preserve">6.0 Exceptions</w:t>
      </w:r>
    </w:p>
    <w:p>
      <w:r>
        <w:t xml:space="preserve">Any planned deviation from this policy requires a documented exception, requested and approved through the exception process in the Information Security Policy. Submit the request in writing to the Information Security Lead. Describe the business reason, what the exception covers, how long it is needed, and any temporary safeguards that reduce the risk. Exceptions expire and are reviewed under that process.</w:t>
      </w:r>
    </w:p>
    <w:p>
      <w:r>
        <w:t xml:space="preserve">An exception documents a temporary gap that stays subject to expiry and review. A gap that is discovered rather than planned is reported and handled first (see Section 7.0); if it must stay open afterward, an exception is requested promptly. A deviation someone chose to make without approval, or a discovered gap kept outside this process, is a violation (see Section 8.0).</w:t>
      </w:r>
    </w:p>
    <w:p>
      <w:pPr>
        <w:pStyle w:val="Heading1"/>
      </w:pPr>
      <w:r>
        <w:t xml:space="preserve">7.0 Reporting Security Incidents and Concerns</w:t>
      </w:r>
    </w:p>
    <w:p>
      <w:r>
        <w:t>Promptly report unauthorized or unrecorded changes, a change that weakened a protection, suspected security incidents, and other security concerns. Use the incident reporting contacts kept in the Information Security Policy (its Appendix 1). A report to any manager counts; the manager passes it to those contacts. Failing to report a security incident you know about or reasonably suspect is itself a policy violation (see Section 8.0).</w:t>
      </w:r>
    </w:p>
    <w:p>
      <w:r>
        <w:rPr>
          <w:highlight w:val="yellow"/>
        </w:rPr>
        <w:t xml:space="preserve">[No one is punished for the act of making a good-faith report; the report itself is never the offense. An honest mistake reported promptly is treated more leniently than one concealed, and a late report is treated more leniently than none. Any discipline for the underlying conduct follows Section 8.0.]</w:t>
      </w:r>
    </w:p>
    <w:p>
      <w:pPr>
        <w:pStyle w:val="Heading1"/>
      </w:pPr>
      <w:r>
        <w:t xml:space="preserve">8.0 Violations and Disciplinary Action</w:t>
      </w:r>
    </w:p>
    <w:p>
      <w:r>
        <w:t xml:space="preserve">Anyone who violates this policy can face disciplinary action, up to and including termination of employment or contract, and legal action where applicable. The response to a violation will depend on its severity, its impact on the organization's security, and any legal or regulatory requirements.</w:t>
      </w:r>
    </w:p>
    <w:p>
      <w:pPr>
        <w:pStyle w:val="Heading1"/>
      </w:pPr>
      <w:r>
        <w:t xml:space="preserve">9.0 Related Policies and Standards</w:t>
      </w:r>
    </w:p>
    <w:p>
      <w:r>
        <w:t xml:space="preserve">This policy is a supporting policy of the Information Security Policy, the top-level document of the organization's information security policy set. This policy may set stricter rules; a stricter rule is not a conflict. If this policy contradicts the Information Security Policy, the Information Security Policy prevails.</w:t>
      </w:r>
    </w:p>
    <w:p>
      <w:r>
        <w:t xml:space="preserve">It works alongside these policies:</w:t>
      </w:r>
    </w:p>
    <w:p>
      <w:pPr>
        <w:pStyle w:val="ListBullet"/>
      </w:pPr>
      <w:r>
        <w:t xml:space="preserve">The Vulnerability Management Policy: routine patching runs as a standard change, an out-of-band fix follows the standard route where its procedure covers it and the normal route otherwise, and urgent fixes use this policy's emergency route.</w:t>
      </w:r>
    </w:p>
    <w:p>
      <w:pPr>
        <w:pStyle w:val="ListBullet"/>
      </w:pPr>
      <w:r>
        <w:t xml:space="preserve">The Incident Response Policy: response actions during an incident follow it, with lasting changes recorded here afterward.</w:t>
      </w:r>
    </w:p>
    <w:p>
      <w:pPr>
        <w:pStyle w:val="ListBullet"/>
      </w:pPr>
      <w:r>
        <w:t xml:space="preserve">The Access Control Policy: access requests follow its process; changes to the system that grants and manages access follow this one.</w:t>
      </w:r>
    </w:p>
    <w:p>
      <w:pPr>
        <w:pStyle w:val="ListBullet"/>
      </w:pPr>
      <w:r>
        <w:t xml:space="preserve">The Business Continuity &amp; Disaster Recovery Plan: recovery follows its step-by-step procedures, and when an activation ends, the systems it rebuilt are recorded under this policy.</w:t>
      </w:r>
    </w:p>
    <w:p>
      <w:pPr>
        <w:pStyle w:val="ListBullet"/>
      </w:pPr>
      <w:r>
        <w:t xml:space="preserve">The Data Handling Policy: the classifications used to judge a change's risk, and the retention of change records.</w:t>
      </w:r>
    </w:p>
    <w:p>
      <w:pPr>
        <w:pStyle w:val="ListBullet"/>
      </w:pPr>
      <w:r>
        <w:t xml:space="preserve">The Vendor Risk Management Policy: a material change to a vendor's service is also a re-assessment trigger under it.</w:t>
      </w:r>
    </w:p>
    <w:p>
      <w:pPr>
        <w:pStyle w:val="ListBullet"/>
      </w:pPr>
      <w:r>
        <w:t xml:space="preserve">The Secure Development Policy: it sets what the code review covers and how software is built and tested; what it builds reaches production only through this policy.</w:t>
      </w:r>
    </w:p>
    <w:p>
      <w:pPr>
        <w:pStyle w:val="ListBullet"/>
      </w:pPr>
      <w:r>
        <w:t xml:space="preserve">The Remote Work &amp; Mobile Device Policy: the user devices outside this policy's scope.</w:t>
      </w:r>
    </w:p>
    <w:p>
      <w:r>
        <w:t xml:space="preserve">Where any of these does not exist yet, treat it as a roadmap item; the rules in this policy apply on their own regardless.</w:t>
      </w:r>
    </w:p>
    <w:p>
      <w:r>
        <w:t>At a policy level, these rules put into practice control 8.32 of ISO/IEC 27001:2022 Annex A (change management): changes to the organization's information systems and information processing facilities are subject to the procedures this policy defines. The separation rule in Section 3.3 supports control 8.31 (separation of development, test and production environments); the Secure Development Policy's environment rules secure that separation. They support the Identify and Protect functions of the NIST Cybersecurity Framework 2.0, in particular its Risk Assessment (ID.RA) and Platform Security (PR.PS) categories.</w:t>
      </w:r>
    </w:p>
    <w:p>
      <w:pPr>
        <w:pStyle w:val="Heading1"/>
      </w:pPr>
      <w:r>
        <w:t xml:space="preserve">Appendix 1: Change Types</w:t>
      </w:r>
    </w:p>
    <w:p>
      <w:r>
        <w:t>Set the bracketed names and values when adopting this policy. The three change types, and the rule that the person who makes a change does not approve it (the two-person rule), hold in every adoption, whatever values you set. Section 3.5's unreachable-approver rule is the one narrow exception.</w:t>
      </w:r>
    </w:p>
    <w:tbl>
      <w:tblPr>
        <w:tblStyle w:val="TableGrid"/>
        <w:tblW w:type="auto" w:w="0"/>
        <w:tblLook w:firstColumn="1" w:firstRow="1" w:lastColumn="0" w:lastRow="0" w:noHBand="0" w:noVBand="1" w:val="04A0"/>
      </w:tblPr>
      <w:tblGrid>
        <w:gridCol w:w="1800"/>
        <w:gridCol w:w="4320"/>
        <w:gridCol w:w="2340"/>
        <w:gridCol w:w="2340"/>
      </w:tblGrid>
      <w:tr>
        <w:tc>
          <w:tcPr>
            <w:tcW w:type="dxa" w:w="1800"/>
          </w:tcPr>
          <w:p>
            <w:r>
              <w:rPr>
                <w:b/>
              </w:rPr>
              <w:t xml:space="preserve">Type</w:t>
            </w:r>
          </w:p>
        </w:tc>
        <w:tc>
          <w:tcPr>
            <w:tcW w:type="dxa" w:w="4320"/>
          </w:tcPr>
          <w:p>
            <w:r>
              <w:rPr>
                <w:b/>
              </w:rPr>
              <w:t xml:space="preserve">What it is</w:t>
            </w:r>
          </w:p>
        </w:tc>
        <w:tc>
          <w:tcPr>
            <w:tcW w:type="dxa" w:w="2340"/>
          </w:tcPr>
          <w:p>
            <w:r>
              <w:rPr>
                <w:b/>
              </w:rPr>
              <w:t xml:space="preserve">Approval</w:t>
            </w:r>
          </w:p>
        </w:tc>
        <w:tc>
          <w:tcPr>
            <w:tcW w:type="dxa" w:w="2340"/>
          </w:tcPr>
          <w:p>
            <w:r>
              <w:rPr>
                <w:b/>
              </w:rPr>
              <w:t xml:space="preserve">Record</w:t>
            </w:r>
          </w:p>
        </w:tc>
      </w:tr>
      <w:tr>
        <w:tc>
          <w:tcPr>
            <w:tcW w:type="dxa" w:w="1800"/>
          </w:tcPr>
          <w:p>
            <w:r>
              <w:t xml:space="preserve">Standard</w:t>
            </w:r>
          </w:p>
        </w:tc>
        <w:tc>
          <w:tcPr>
            <w:tcW w:type="dxa" w:w="4320"/>
          </w:tcPr>
          <w:p>
            <w:r>
              <w:t xml:space="preserve">A low-risk, repeatable change run from a documented procedure on the standard change list (routine automated patching, </w:t>
            </w:r>
            <w:r>
              <w:rPr>
                <w:highlight w:val="yellow"/>
              </w:rPr>
              <w:t>[automated certificate renewals]</w:t>
            </w:r>
            <w:r>
              <w:t>)</w:t>
            </w:r>
          </w:p>
        </w:tc>
        <w:tc>
          <w:tcPr>
            <w:tcW w:type="dxa" w:w="2340"/>
          </w:tcPr>
          <w:p>
            <w:r>
              <w:t xml:space="preserve">Pre-approved by being on the list (Section 3.1)</w:t>
            </w:r>
          </w:p>
        </w:tc>
        <w:tc>
          <w:tcPr>
            <w:tcW w:type="dxa" w:w="2340"/>
          </w:tcPr>
          <w:p>
            <w:r>
              <w:t xml:space="preserve">A log entry</w:t>
            </w:r>
          </w:p>
        </w:tc>
      </w:tr>
      <w:tr>
        <w:tc>
          <w:tcPr>
            <w:tcW w:type="dxa" w:w="1800"/>
          </w:tcPr>
          <w:p>
            <w:r>
              <w:t xml:space="preserve">Normal</w:t>
            </w:r>
          </w:p>
        </w:tc>
        <w:tc>
          <w:tcPr>
            <w:tcW w:type="dxa" w:w="4320"/>
          </w:tcPr>
          <w:p>
            <w:r>
              <w:t xml:space="preserve">Any change that is neither standard nor an emergency</w:t>
            </w:r>
          </w:p>
        </w:tc>
        <w:tc>
          <w:tcPr>
            <w:tcW w:type="dxa" w:w="2340"/>
          </w:tcPr>
          <w:p>
            <w:r>
              <w:t xml:space="preserve">The change approver before the change (or the pipeline reviewer, Section 3.2); Executive Management where business risk is significant</w:t>
            </w:r>
          </w:p>
        </w:tc>
        <w:tc>
          <w:tcPr>
            <w:tcW w:type="dxa" w:w="2340"/>
          </w:tcPr>
          <w:p>
            <w:r>
              <w:t xml:space="preserve">A full change record, started before approval and closed after the change</w:t>
            </w:r>
          </w:p>
        </w:tc>
      </w:tr>
      <w:tr>
        <w:tc>
          <w:tcPr>
            <w:tcW w:type="dxa" w:w="1800"/>
          </w:tcPr>
          <w:p>
            <w:r>
              <w:t xml:space="preserve">Emergency</w:t>
            </w:r>
          </w:p>
        </w:tc>
        <w:tc>
          <w:tcPr>
            <w:tcW w:type="dxa" w:w="4320"/>
          </w:tcPr>
          <w:p>
            <w:r>
              <w:t xml:space="preserve">A change that cannot wait for normal approval: an outage, a Critical or actively exploited vulnerability, a fix that incident response needs now, a fix that must run during a change freeze</w:t>
            </w:r>
          </w:p>
        </w:tc>
        <w:tc>
          <w:tcPr>
            <w:tcW w:type="dxa" w:w="2340"/>
          </w:tcPr>
          <w:p>
            <w:r>
              <w:t xml:space="preserve">Verbal or message approval from the change approver or the Information Security Lead; reviewed at the next </w:t>
            </w:r>
            <w:r>
              <w:rPr>
                <w:highlight w:val="yellow"/>
              </w:rPr>
              <w:t xml:space="preserve">[monthly]</w:t>
            </w:r>
            <w:r>
              <w:t xml:space="preserve"> review</w:t>
            </w:r>
          </w:p>
        </w:tc>
        <w:tc>
          <w:tcPr>
            <w:tcW w:type="dxa" w:w="2340"/>
          </w:tcPr>
          <w:p>
            <w:r>
              <w:t xml:space="preserve">A full change record, completed within </w:t>
            </w:r>
            <w:r>
              <w:rPr>
                <w:highlight w:val="yellow"/>
              </w:rPr>
              <w:t>[2 business days]</w:t>
            </w:r>
            <w:r>
              <w:t xml:space="preserve"> after the change (Section 3.5)</w:t>
            </w:r>
          </w:p>
        </w:tc>
      </w:tr>
    </w:tbl>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8"/>
      </w:rPr>
      <w:t xml:space="preserve">Change Management Policy | Page </w:t>
    </w:r>
    <w:r>
      <w:rPr>
        <w:sz w:val="18"/>
      </w:rPr>
      <w:fldChar w:fldCharType="begin"/>
      <w:instrText xml:space="preserve">PAGE</w:instrText>
      <w:fldChar w:fldCharType="end"/>
    </w:r>
    <w:r>
      <w:rPr>
        <w:sz w:val="18"/>
      </w:rPr>
      <w:t xml:space="preserve"> of </w:t>
    </w:r>
    <w:r>
      <w:rPr>
        <w:sz w:val="18"/>
      </w:rPr>
      <w:fldChar w:fldCharType="begin"/>
      <w:instrText xml:space="preserve">NUMPAGES</w:instrText>
      <w:fldChar w:fldCharType="end"/>
    </w:r>
    <w:r>
      <w:rPr>
        <w:sz w:val="18"/>
      </w:rPr>
      <w:t xml:space="preserve"> | anobytes.com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720"/>
        </w:tabs>
        <w:ind w:left="72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0" w:lineRule="auto"/>
    </w:pPr>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Arial" w:hAnsi="Arial" w:cs="Arial"/>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eastAsiaTheme="majorEastAsia" w:ascii="Arial" w:hAnsi="Arial" w:cs="Arial"/>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eastAsiaTheme="majorEastAsia" w:ascii="Arial" w:hAnsi="Arial" w:cs="Arial"/>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eastAsiaTheme="majorEastAsia" w:ascii="Arial" w:hAnsi="Arial" w:cs="Arial"/>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contextualSpacing/>
    </w:pPr>
    <w:rPr>
      <w:rFonts w:ascii="Arial" w:hAnsi="Arial" w:cs="Arial"/>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3072</Words>
  <Characters>16711</Characters>
  <DocSecurity>0</DocSecurity>
  <Lines>179</Lines>
  <Paragraphs>142</Paragraphs>
  <ScaleCrop>false</ScaleCrop>
  <HeadingPairs>
    <vt:vector size="2" baseType="variant">
      <vt:variant>
        <vt:lpstr>Title</vt:lpstr>
      </vt:variant>
      <vt:variant>
        <vt:i4>1</vt:i4>
      </vt:variant>
    </vt:vector>
  </HeadingPairs>
  <TitlesOfParts>
    <vt:vector size="1" baseType="lpstr">
      <vt:lpstr>Change Management Policy</vt:lpstr>
    </vt:vector>
  </TitlesOfParts>
  <Manager/>
  <Company>anoBytes Technology Solutions LLC</Company>
  <LinksUpToDate>false</LinksUpToDate>
  <CharactersWithSpaces>19783</CharactersWithSpaces>
  <SharedDoc>false</SharedDoc>
  <HyperlinkBase/>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dc:title>Change Management Policy</dc:title>
  <dc:subject>Change management policy template</dc:subject>
  <dc:creator>Nelson Pereira, anoBytes Technology Solutions LLC</dc:creator>
  <cp:keywords>standard changes, standard change list, change approver, change record, change freeze, maintenance windows, merge request, unauthorized change, monthly operations review, routine automated patching</cp:keywords>
  <dc:description>The change control companion to our security policy set: three change types, two-person approval, rollback plans, and an emergency route with the paperwork after. Free to adapt for your organization.</dc:description>
  <cp:lastModifiedBy/>
  <cp:revision>1</cp:revision>
  <dcterms:created xsi:type="dcterms:W3CDTF">2026-07-17T00:00:00Z</dcterms:created>
  <dcterms:modified xsi:type="dcterms:W3CDTF">2026-08-06T00:00:00Z</dcterms:modified>
  <cp:category>Template</cp:category>
</cp:coreProperties>
</file>