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Data Handling Policy</w:t>
      </w:r>
    </w:p>
    <w:p>
      <w:r>
        <w:rPr>
          <w:b/>
        </w:rPr>
        <w:t>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Data Handling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how the information of </w:t>
      </w:r>
      <w:r>
        <w:rPr>
          <w:highlight w:val="yellow"/>
        </w:rPr>
        <w:t xml:space="preserve">[Company Name]</w:t>
      </w:r>
      <w:r>
        <w:t xml:space="preserve"> ("the organization") is classified, labeled, stored, shared, retained, and disposed of, so that each piece of information gets protection that matches its sensitivity.</w:t>
      </w:r>
    </w:p>
    <w:p>
      <w:r>
        <w:t>This policy is a supporting policy of the organization's Information Security Policy. It gives effect to the information classification, transfer, retention, and disposal requirements of ISO/IEC 27001:2022 Annex A and the corresponding outcomes of the NIST Cybersecurity Framework (CSF) 2.0. It also defines the classification scheme and the data handling rules that the organization's other policies refer to (see Section 9.0).</w:t>
      </w:r>
    </w:p>
    <w:p>
      <w:pPr>
        <w:pStyle w:val="Heading1"/>
      </w:pPr>
      <w:r>
        <w:t xml:space="preserve">2.0 Scope</w:t>
      </w:r>
    </w:p>
    <w:p>
      <w:r>
        <w:t>This policy applies to all information the organization creates, receives, or handles, in any form (digital, printed, or on removable media) and wherever it lives, including the organization's systems, cloud services, devices, approved personal devices, and third-party providers. It governs everyone who handles that information: employees, contractors, vendors, and any other authorized users. The personal, day-to-day handling duties (locking screens, clear desk, using approved channels) live in the Acceptable Use Policy. This policy defines the classification levels, the handling rules for each level, and the organization-side duties behind them. On an approved personal device this policy applies to the organization's information only, not personal content, as the Acceptable Use Policy provides.</w:t>
      </w:r>
    </w:p>
    <w:p>
      <w:pPr>
        <w:pStyle w:val="Heading1"/>
      </w:pPr>
      <w:r>
        <w:t xml:space="preserve">3.0 Policy Statements</w:t>
      </w:r>
    </w:p>
    <w:p>
      <w:r>
        <w:t>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Classification Levels</w:t>
      </w:r>
    </w:p>
    <w:p>
      <w:r>
        <w:t>The organization classifies information into three levels, graded by the harm its disclosure could cause. When in doubt between two levels, choose the higher. The levels grade the confidentiality of information; how much a given piece of information matters to the business is a separate question. Backups, change control, and the other protections against alteration and loss that the Information Security Policy requires still apply at every level, Public included.</w:t>
      </w:r>
    </w:p>
    <w:p>
      <w:pPr>
        <w:pStyle w:val="ListBullet"/>
      </w:pPr>
      <w:r>
        <w:rPr>
          <w:b/>
        </w:rPr>
        <w:t>Public:</w:t>
      </w:r>
      <w:r>
        <w:t xml:space="preserve"> information approved for release, whose disclosure causes no harm (website content, marketing material, the organization's published guides).</w:t>
      </w:r>
    </w:p>
    <w:p>
      <w:pPr>
        <w:pStyle w:val="ListBullet"/>
      </w:pPr>
      <w:r>
        <w:rPr>
          <w:b/>
        </w:rPr>
        <w:t xml:space="preserve">Internal:</w:t>
      </w:r>
      <w:r>
        <w:t xml:space="preserve"> everyday business information not meant for release, whose disclosure would cause limited harm (internal procedures, project plans, organization charts, most day-to-day email). Internal is the default: information that has not been classified gets Internal handling at minimum, and Confidential handling when the content is Confidential, labeled or not (Section 3.3), until its owner classifies it. When in doubt, handle at the higher level until the owner decides.</w:t>
      </w:r>
    </w:p>
    <w:p>
      <w:pPr>
        <w:pStyle w:val="ListBullet"/>
      </w:pPr>
      <w:r>
        <w:rPr>
          <w:b/>
        </w:rPr>
        <w:t>Confidential:</w:t>
      </w:r>
      <w:r>
        <w:t xml:space="preserve"> information whose disclosure would cause serious harm to the organization, its customers, or individuals (customer data, personal information, financial records, intellectual property, credentials and keys, security configurations, contracts).</w:t>
      </w:r>
    </w:p>
    <w:p>
      <w:pPr>
        <w:pStyle w:val="ListBullet"/>
      </w:pPr>
      <w:r>
        <w:t>Information classified Confidential is the "sensitive information" the organization's other policies refer to: the Access Control Policy restricts access to it, the Information Security Policy requires it encrypted in transit and at rest, the Encryption Policy carries out that encryption, and the Acceptable Use Policy governs its daily handling.</w:t>
      </w:r>
    </w:p>
    <w:p>
      <w:pPr>
        <w:pStyle w:val="ListBullet"/>
      </w:pPr>
      <w:r>
        <w:t xml:space="preserve">An organization that handles high-stakes regulated material can add a level above Confidential (often called Restricted) for its narrowest need-to-know information; the Confidential rules then apply as the floor, tightened as needed.</w:t>
      </w:r>
    </w:p>
    <w:p>
      <w:pPr>
        <w:pStyle w:val="ListBullet"/>
      </w:pPr>
      <w:r>
        <w:t xml:space="preserve">Appendix 1 summarizes the handling requirements for each level.</w:t>
      </w:r>
    </w:p>
    <w:p>
      <w:pPr>
        <w:pStyle w:val="Heading2"/>
      </w:pPr>
      <w:r>
        <w:t xml:space="preserve">3.2 Classifying Information</w:t>
      </w:r>
    </w:p>
    <w:p>
      <w:pPr>
        <w:pStyle w:val="ListBullet"/>
      </w:pPr>
      <w:r>
        <w:t>Every information asset has an owner, recorded in the inventory the Information Security Policy requires. That owner classifies it, and classifies new collections of information when they are created.</w:t>
      </w:r>
    </w:p>
    <w:p>
      <w:pPr>
        <w:pStyle w:val="ListBullet"/>
      </w:pPr>
      <w:r>
        <w:t xml:space="preserve">Copies and extracts inherit the classification of the original, as the Acceptable Use Policy also provides; extracting or summarizing Confidential information does not lower its level.</w:t>
      </w:r>
    </w:p>
    <w:p>
      <w:pPr>
        <w:pStyle w:val="ListBullet"/>
      </w:pPr>
      <w:r>
        <w:t xml:space="preserve">A collection of records can deserve a higher level than any single record in it (one customer's contact details versus the full customer database): classify a collection by what the whole set would reveal.</w:t>
      </w:r>
    </w:p>
    <w:p>
      <w:pPr>
        <w:pStyle w:val="ListBullet"/>
      </w:pPr>
      <w:r>
        <w:t xml:space="preserve">Release to Public is a deliberate decision: on the owner's request, Executive Management, or a role it designates in writing </w:t>
      </w:r>
      <w:r>
        <w:rPr>
          <w:highlight w:val="yellow"/>
        </w:rPr>
        <w:t xml:space="preserve">[e.g., the marketing lead]</w:t>
      </w:r>
      <w:r>
        <w:t xml:space="preserve">, approves releasing information to the public. Publishing something is never a way around that approval. Reclassifying information to Public is a release and requires the same approval.</w:t>
      </w:r>
    </w:p>
    <w:p>
      <w:pPr>
        <w:pStyle w:val="ListBullet"/>
      </w:pPr>
      <w:r>
        <w:t>Reclassification belongs to the owner: the owner raises the level when sensitivity grows, and may lower it when the sensitivity has genuinely passed (a product plan after the public launch). Lowering a level from Confidential requires the Information Security Lead's written agreement. Every reclassification, up or down, is recorded in the asset inventory. Personal information never goes below the floor Section 3.9 sets.</w:t>
      </w:r>
    </w:p>
    <w:p>
      <w:pPr>
        <w:pStyle w:val="Heading2"/>
      </w:pPr>
      <w:r>
        <w:t>3.3 Labeling</w:t>
      </w:r>
    </w:p>
    <w:p>
      <w:pPr>
        <w:pStyle w:val="ListBullet"/>
      </w:pPr>
      <w:r>
        <w:t xml:space="preserve">Confidential information is labeled where practical: a marking in the document (title page, header, or footer), the classification field of systems that have one, or a location that makes the level obvious (a folder or repository designated Confidential labels its contents).</w:t>
      </w:r>
    </w:p>
    <w:p>
      <w:pPr>
        <w:pStyle w:val="ListBullet"/>
      </w:pPr>
      <w:r>
        <w:t>Public information is labeled by the act of publication. Internal information needs no label: it is the default.</w:t>
      </w:r>
    </w:p>
    <w:p>
      <w:pPr>
        <w:pStyle w:val="ListBullet"/>
      </w:pPr>
      <w:r>
        <w:t xml:space="preserve">A missing label never lowers protection: information is handled according to what it actually is, and a wrong or missing label is corrected when noticed.</w:t>
      </w:r>
    </w:p>
    <w:p>
      <w:pPr>
        <w:pStyle w:val="Heading2"/>
      </w:pPr>
      <w:r>
        <w:t xml:space="preserve">3.4 Handling and Storage</w:t>
      </w:r>
    </w:p>
    <w:p>
      <w:pPr>
        <w:pStyle w:val="ListBullet"/>
      </w:pPr>
      <w:r>
        <w:t>Information is stored in locations the organization has approved for its classification, where it is protected and backed up, rather than only on a local device. The Acceptable Use Policy says where the approved list lives.</w:t>
      </w:r>
    </w:p>
    <w:p>
      <w:pPr>
        <w:pStyle w:val="ListBullet"/>
      </w:pPr>
      <w:r>
        <w:t>Backup copies inherit the classification of the information they hold, and backup media follows the media handling rules of this section and the disposal rules of Section 3.8.</w:t>
      </w:r>
    </w:p>
    <w:p>
      <w:pPr>
        <w:pStyle w:val="ListBullet"/>
      </w:pPr>
      <w:r>
        <w:t xml:space="preserve">Confidential information is encrypted in transit and at rest, as the Information Security Policy requires, and access to it is restricted to business need under the Access Control Policy.</w:t>
      </w:r>
    </w:p>
    <w:p>
      <w:pPr>
        <w:pStyle w:val="ListBullet"/>
      </w:pPr>
      <w:r>
        <w:t>Confidential information leaves its approved locations only for a business reason; working copies are kept to a minimum and cleaned up when the work is done. Bulk extracts require the owner's prior approval. The Acceptable Use Policy likewise requires prior approval for any extract beyond the assigned work; a single recorded approval that includes the owner satisfies both. A copy of Confidential information for a test or demonstration environment is masked first (real values replaced with made-up ones) wherever the work allows; where real data is genuinely needed, the copy needs the same owner approval as a bulk extract and the same protection as the original.</w:t>
      </w:r>
    </w:p>
    <w:p>
      <w:pPr>
        <w:pStyle w:val="ListBullet"/>
      </w:pPr>
      <w:r>
        <w:t xml:space="preserve">Printed Confidential material follows the clear desk rules of the Acceptable Use Policy, and the organization provides lockable storage and a secure disposal route (a shredder or a locked disposal console) wherever such material is regularly handled.</w:t>
      </w:r>
    </w:p>
    <w:p>
      <w:pPr>
        <w:pStyle w:val="ListBullet"/>
      </w:pPr>
      <w:r>
        <w:t>Removable media is organization-approved and encrypted, per the Acceptable Use Policy. Media holding Confidential information is also tracked: security operations keeps an inventory of the approved media in circulation and who holds each item.</w:t>
      </w:r>
    </w:p>
    <w:p>
      <w:pPr>
        <w:pStyle w:val="Heading2"/>
      </w:pPr>
      <w:r>
        <w:t xml:space="preserve">3.5 Sharing and Transfer</w:t>
      </w:r>
    </w:p>
    <w:p>
      <w:pPr>
        <w:pStyle w:val="ListBullet"/>
      </w:pPr>
      <w:r>
        <w:t xml:space="preserve">Share information only with people authorized to see it, on business need appropriate to its classification, over channels the organization has approved for that classification. The Information Security Lead keeps the channel list current; sharing outside the approved channels requires an exception under Section 6.0.</w:t>
      </w:r>
    </w:p>
    <w:p>
      <w:pPr>
        <w:pStyle w:val="ListBullet"/>
      </w:pPr>
      <w:r>
        <w:t>Confidential information is disclosed to a third party only under a contract or confidentiality agreement that covers it. A third party that will store, process, or handle Confidential information as a service provider also goes through the organization's vendor assessment (the Vendor Risk Management Policy, under the Information Security Policy).</w:t>
      </w:r>
    </w:p>
    <w:p>
      <w:pPr>
        <w:pStyle w:val="ListBullet"/>
      </w:pPr>
      <w:r>
        <w:t>Two disclosures are exempt from those requirements. Returning a party's own information to it (a customer's own data or deliverables, an individual's own personal information under Section 3.9) needs no separate agreement and no vendor assessment; authorization, identity verification, and approved channels still apply. Disclosure that law compels or expressly authorizes (a subpoena, a regulator's demand, a required notification) is also exempt. The law itself must call for the disclosure. The Information Security Lead coordinates and records each such disclosure.</w:t>
      </w:r>
    </w:p>
    <w:p>
      <w:pPr>
        <w:pStyle w:val="ListBullet"/>
      </w:pPr>
      <w:r>
        <w:t>Organization information is entered only into AI tools and other online services the organization has approved for that information's classification level, as the Information Security Policy and Acceptable Use Policy already require.</w:t>
      </w:r>
    </w:p>
    <w:p>
      <w:pPr>
        <w:pStyle w:val="ListBullet"/>
      </w:pPr>
      <w:r>
        <w:t xml:space="preserve">Physical transport of Confidential material, whether paper or media, is protected: carried by a trusted person or a tracked service, encrypted where digital, and confirmed received.</w:t>
      </w:r>
    </w:p>
    <w:p>
      <w:pPr>
        <w:pStyle w:val="ListBullet"/>
      </w:pPr>
      <w:r>
        <w:t xml:space="preserve">Recurring transfers (a data feed to a provider, a regular report to a client) are set up once, through an approved channel, with the owner's approval recorded, and the same arrangement is reused each time.</w:t>
      </w:r>
    </w:p>
    <w:p>
      <w:pPr>
        <w:pStyle w:val="Heading2"/>
      </w:pPr>
      <w:r>
        <w:t xml:space="preserve">3.6 Retention</w:t>
      </w:r>
    </w:p>
    <w:p>
      <w:pPr>
        <w:pStyle w:val="ListBullet"/>
      </w:pPr>
      <w:r>
        <w:t xml:space="preserve">Information is kept only as long as business, legal, or regulatory needs require, as the Information Security Policy states. A longer period is justified only by a specific, anticipated legal, regulatory, or business use for the information.</w:t>
      </w:r>
    </w:p>
    <w:p>
      <w:pPr>
        <w:pStyle w:val="ListBullet"/>
      </w:pPr>
      <w:r>
        <w:t>The organization maintains a retention schedule: the record types it holds, each type's retention period and the reason for it (business need, law, regulation, or contract), and the owner who set it. Appendix 2 is a starter schedule to fill in and extend. The Information Security Lead keeps the schedule; owners set the periods for their information, informed by the legal, regulatory, and contractual requirements that the organization tracks under the Information Security Policy. No period is set shorter than a legal, regulatory, or contractual minimum that applies to the record type; where the minimum is unknown, it is confirmed before the period is set.</w:t>
      </w:r>
    </w:p>
    <w:p>
      <w:pPr>
        <w:pStyle w:val="ListBullet"/>
      </w:pPr>
      <w:r>
        <w:t xml:space="preserve">Owners add a record type to the schedule when it is created or first inventoried. A type that holds personal information is added when collection begins, consistent with Section 3.9. A type missing from the schedule is flagged at the annual review, and its owner sets the period within </w:t>
      </w:r>
      <w:r>
        <w:rPr>
          <w:highlight w:val="yellow"/>
        </w:rPr>
        <w:t>[30 days]</w:t>
      </w:r>
      <w:r>
        <w:t xml:space="preserve"> of the flag. Until the period is set, the records are not deleted, and the missing entry is not treated as keep-forever.</w:t>
      </w:r>
    </w:p>
    <w:p>
      <w:pPr>
        <w:pStyle w:val="ListBullet"/>
      </w:pPr>
      <w:r>
        <w:t xml:space="preserve">The schedule carries the minimums the organization's other policies set for their own records (access records under the Access Control Policy, security logs under the Incident Response Policy). Where another policy leaves the period to this schedule, the schedule sets it: closed incident records, for example, are kept </w:t>
      </w:r>
      <w:r>
        <w:rPr>
          <w:highlight w:val="yellow"/>
        </w:rPr>
        <w:t>[at least two years]</w:t>
      </w:r>
      <w:r>
        <w:t>. Retention never undercuts a minimum another policy sets.</w:t>
      </w:r>
    </w:p>
    <w:p>
      <w:pPr>
        <w:pStyle w:val="ListBullet"/>
      </w:pPr>
      <w:r>
        <w:t>When a retention period ends and no legal hold (Section 3.7) applies, the information is disposed of under Section 3.8, from active systems and known copies. Where deleting single items from backups is impracticable, backup copies instead expire through the normal backup cycle.</w:t>
      </w:r>
    </w:p>
    <w:p>
      <w:pPr>
        <w:pStyle w:val="ListBullet"/>
      </w:pPr>
      <w:r>
        <w:t xml:space="preserve">Records that prove obligations are met (contracts, financial records, policy acknowledgments, audit results) are protected against loss, alteration, unauthorized access, and unauthorized release for their whole retention period.</w:t>
      </w:r>
    </w:p>
    <w:p>
      <w:pPr>
        <w:pStyle w:val="Heading2"/>
      </w:pPr>
      <w:r>
        <w:t xml:space="preserve">3.7 Legal Hold</w:t>
      </w:r>
    </w:p>
    <w:p>
      <w:pPr>
        <w:pStyle w:val="ListBullet"/>
      </w:pPr>
      <w:r>
        <w:t xml:space="preserve">When the organization reasonably anticipates litigation, a government or regulatory investigation, or a claim or dispute likely to lead to either, routine deletion for the affected information is suspended (a legal hold), so evidence is not lost to normal expiry. A preservation notice, a subpoena, or a demand letter always qualifies. During a security incident, the Incident Response Policy applies the same rule to logs and evidence.</w:t>
      </w:r>
    </w:p>
    <w:p>
      <w:pPr>
        <w:pStyle w:val="ListBullet"/>
      </w:pPr>
      <w:r>
        <w:t xml:space="preserve">Anyone who receives a preservation notice, a subpoena, or a demand letter, or learns of a likely claim or investigation, tells the Information Security Lead the same day. The Information Security Lead declares the hold as soon as the trigger is met, without waiting for legal advice. Where the organization has counsel, the Information Security Lead seeks advice on the hold's scope.</w:t>
      </w:r>
    </w:p>
    <w:p>
      <w:pPr>
        <w:pStyle w:val="ListBullet"/>
      </w:pPr>
      <w:r>
        <w:t xml:space="preserve">The declaration records what information is held, why, and since when. It goes to the affected owners, to security operations, and to everyone who holds affected information. Security operations suspends the deletions the hold covers, including automated ones. For services that hold affected information, security operations adjusts retention settings and, where needed, asks the provider to preserve. Everyone who holds affected information suspends their own deletion of it, including on approved personal devices.</w:t>
      </w:r>
    </w:p>
    <w:p>
      <w:pPr>
        <w:pStyle w:val="ListBullet"/>
      </w:pPr>
      <w:r>
        <w:t>Where notifying a particular holder would put the held information at risk (the matter concerns that person), the Information Security Lead may instead have security operations preserve that person's information centrally, and records the decision. The notice to that person follows when the risk has passed.</w:t>
      </w:r>
    </w:p>
    <w:p>
      <w:pPr>
        <w:pStyle w:val="ListBullet"/>
      </w:pPr>
      <w:r>
        <w:t>A legal hold overrides the retention schedule and every deletion, routine or deliberate, for as long as it stands. Where a backup holds the only remaining copy of held information, that copy is preserved (restored or exported) rather than left to expire; backup rotation then continues. The Information Security Lead lifts the hold in writing when the matter is fully resolved. Where the organization has counsel, the lift follows legal advice. Where the matter concerns the Information Security Lead personally, Executive Management declares and lifts the hold instead.</w:t>
      </w:r>
    </w:p>
    <w:p>
      <w:pPr>
        <w:pStyle w:val="Heading2"/>
      </w:pPr>
      <w:r>
        <w:t xml:space="preserve">3.8 Disposal of Information and Media</w:t>
      </w:r>
    </w:p>
    <w:p>
      <w:pPr>
        <w:pStyle w:val="ListBullet"/>
      </w:pPr>
      <w:r>
        <w:t xml:space="preserve">Information whose retention period has ended, and that is under no legal hold (Section 3.7), is deleted from the organization's systems, devices, and any other storage (backup copies follow Section 3.6). An owner who still needs it extends its period in the retention schedule instead of keeping it informally. Confidential information is deleted so it cannot practicably be read or reconstructed. Where the information was encrypted from first use, destroying every key that can decrypt it meets this standard, under the Encryption Policy's conditions.</w:t>
      </w:r>
    </w:p>
    <w:p>
      <w:pPr>
        <w:pStyle w:val="ListBullet"/>
      </w:pPr>
      <w:r>
        <w:t>Storage media and equipment are sanitized (cleared of the organization's data and licensed software) before disposal, donation, resale, reuse, or return for repair or replacement. Drives and media that held Confidential information are securely wiped with a method appropriate to the media, or physically destroyed. A device encrypted from first use never stored its data unencrypted. On such a device, destroying the encryption key is an acceptable wipe where the platform supports it. The destruction covers every escrowed or backed-up copy of the key (a recovery key the organization holds, for example). A failed drive that cannot be securely wiped (and was not encrypted from first use) is destroyed rather than returned.</w:t>
      </w:r>
    </w:p>
    <w:p>
      <w:pPr>
        <w:pStyle w:val="ListBullet"/>
      </w:pPr>
      <w:r>
        <w:t xml:space="preserve">Security operations keeps a disposal record for media and equipment that held Confidential information: what was disposed of, when, how, and by whom. A certificate of destruction from a disposal provider engaged under the Information Security Policy's vendor rules meets this requirement.</w:t>
      </w:r>
    </w:p>
    <w:p>
      <w:pPr>
        <w:pStyle w:val="ListBullet"/>
      </w:pPr>
      <w:r>
        <w:t xml:space="preserve">Printed Confidential material is disposed of securely (the shredder or locked disposal console of Section 3.4) and never goes in ordinary trash or recycling, consistent with the Acceptable Use Policy's secure-disposal duties.</w:t>
      </w:r>
    </w:p>
    <w:p>
      <w:pPr>
        <w:pStyle w:val="ListBullet"/>
      </w:pPr>
      <w:r>
        <w:t xml:space="preserve">When an engagement ends and the third party held Confidential information (a cloud or SaaS service, a consultant, a service provider; SaaS means software used over the internet), the information is returned or destroyed. The contract governs how; where the contract is silent, the organization requests the return or destruction. The confirmation is kept. Contracts with such third parties include this duty. Where a service's standard terms cannot include it, the gap is handled under the organization's vendor rules.</w:t>
      </w:r>
    </w:p>
    <w:p>
      <w:pPr>
        <w:pStyle w:val="Heading2"/>
      </w:pPr>
      <w:r>
        <w:t xml:space="preserve">3.9 Personal Information</w:t>
      </w:r>
    </w:p>
    <w:p>
      <w:pPr>
        <w:pStyle w:val="ListBullet"/>
      </w:pPr>
      <w:r>
        <w:t>Personal information (information that identifies or relates to an individual: employees, customers, or anyone else) is classified at least Confidential, whatever its source. The incidental appearance of names and business contact details in everyday business records (an email signature, an organization chart, document authorship) does not by itself make a record Confidential. A compiled set of such details (a contact list, a directory export) is classified as a collection under Section 3.2, not under this carve-out.</w:t>
      </w:r>
    </w:p>
    <w:p>
      <w:pPr>
        <w:pStyle w:val="ListBullet"/>
      </w:pPr>
      <w:r>
        <w:t>Personal information is not collected without a defined purpose. Collect and keep only the personal information the purpose requires.</w:t>
      </w:r>
    </w:p>
    <w:p>
      <w:pPr>
        <w:pStyle w:val="ListBullet"/>
      </w:pPr>
      <w:r>
        <w:t>Privacy and data protection laws can add duties beyond this policy, such as notification deadlines, individual rights, and restrictions on where personal information may be stored or sent across borders. The organization records the duties that apply to it, as the Information Security Policy requires, and follows them, including when approving storage locations and transfer channels under Sections 3.4 and 3.5.</w:t>
      </w:r>
    </w:p>
    <w:p>
      <w:pPr>
        <w:pStyle w:val="ListBullet"/>
      </w:pPr>
      <w:r>
        <w:t xml:space="preserve">Requests from individuals about their personal information (to see, correct, or delete it) are routed to the Information Security Lead, or to Human Resources for employment records. Whoever handles the request verifies the requester's identity and responds how and when the applicable law requires, and within </w:t>
      </w:r>
      <w:r>
        <w:rPr>
          <w:highlight w:val="yellow"/>
        </w:rPr>
        <w:t>[30 days]</w:t>
      </w:r>
      <w:r>
        <w:t xml:space="preserve"> where no law sets the terms. Where law or a legal hold requires the organization to keep the information, a deletion request is answered by explaining that requirement, not by deleting.</w:t>
      </w:r>
    </w:p>
    <w:p>
      <w:pPr>
        <w:pStyle w:val="ListBullet"/>
      </w:pPr>
      <w:r>
        <w:t xml:space="preserve">Suspected exposure or loss of personal information is reported at once (Section 7.0) and handled under the Incident Response Policy, which treats every suspected breach as high-severity until assessed.</w:t>
      </w:r>
    </w:p>
    <w:p>
      <w:pPr>
        <w:pStyle w:val="Heading1"/>
      </w:pPr>
      <w:r>
        <w:t xml:space="preserve">4.0 Roles and Responsibilities</w:t>
      </w:r>
    </w:p>
    <w:p>
      <w:pPr>
        <w:pStyle w:val="ListBullet"/>
      </w:pPr>
      <w:r>
        <w:t xml:space="preserve">The Information Security Lead owns this policy, keeps the classification guidance and the retention schedule current, approves (or delegates approval of) the storage locations and sharing channels for each level and keeps those lists where everyone can find them (a tab in the asset inventory works), declares and lifts legal holds (Section 3.7), agrees in writing to downgrades from Confidential, and answers questions about what this policy requires.</w:t>
      </w:r>
    </w:p>
    <w:p>
      <w:pPr>
        <w:pStyle w:val="ListBullet"/>
      </w:pPr>
      <w:r>
        <w:t>Information owners (the asset owners under the Information Security Policy) classify their information, set its retention periods, and decide any disposal before a period ends, within the rules of Sections 3.6 and 3.8. Reclassification and release to Public follow Section 3.2; sharing outside the approved channels needs an exception under Section 6.0.</w:t>
      </w:r>
    </w:p>
    <w:p>
      <w:pPr>
        <w:pStyle w:val="ListBullet"/>
      </w:pPr>
      <w:r>
        <w:t xml:space="preserve">Security operations, with IT, implements the technical controls this policy requires (encryption, access restriction, deletion, and media sanitization), tracks approved removable media, and keeps the disposal records. The function may be an internal team or a qualified service provider; in a small organization the Information Security Lead performs it, as the Information Security Policy provides.</w:t>
      </w:r>
    </w:p>
    <w:p>
      <w:pPr>
        <w:pStyle w:val="ListBullet"/>
      </w:pPr>
      <w:r>
        <w:t xml:space="preserve">Managers make sure their teams know the classification levels and handle information accordingly.</w:t>
      </w:r>
    </w:p>
    <w:p>
      <w:pPr>
        <w:pStyle w:val="ListBullet"/>
      </w:pPr>
      <w:r>
        <w:t>Human Resources owns the employment records it keeps and sets their retention periods, within this policy's rules like any other information owner. Employment, payroll, and hiring records commonly carry legal minimum retention periods and hold duties (a filed employment claim triggers Section 3.7), and the retention schedule reflects them. HR's wider duties are set in the Information Security Policy.</w:t>
      </w:r>
    </w:p>
    <w:p>
      <w:pPr>
        <w:pStyle w:val="ListBullet"/>
      </w:pPr>
      <w:r>
        <w:t xml:space="preserve">Everyone who handles the organization's information follows the daily handling duties in the Acceptable Use Policy and the rules in this policy.</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Report mishandled or exposed information promptly, and report other security concerns the same way. Use the incident reporting contacts kept in the Information Security Policy (its Appendix 1). A report to any manager counts; the manager passes it to those contacts. Examples: a document shared beyond the people authorized to see it, a lost device or drive, personal information somewhere it should not be.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Acceptable Use Policy: the personal, day-to-day handling duties of everyone with access.</w:t>
      </w:r>
    </w:p>
    <w:p>
      <w:pPr>
        <w:pStyle w:val="ListBullet"/>
      </w:pPr>
      <w:r>
        <w:t xml:space="preserve">The Access Control Policy: it restricts access by the classifications this policy defines.</w:t>
      </w:r>
    </w:p>
    <w:p>
      <w:pPr>
        <w:pStyle w:val="ListBullet"/>
      </w:pPr>
      <w:r>
        <w:t xml:space="preserve">The Incident Response Policy: it handles exposure and breaches, and applies legal holds to incident evidence.</w:t>
      </w:r>
    </w:p>
    <w:p>
      <w:pPr>
        <w:pStyle w:val="ListBullet"/>
      </w:pPr>
      <w:r>
        <w:t xml:space="preserve">The Encryption Policy: it encrypts the Confidential information this policy classifies, and gives effect to the destroy-the-key disposal in Section 3.8.</w:t>
      </w:r>
    </w:p>
    <w:p>
      <w:pPr>
        <w:pStyle w:val="ListBullet"/>
      </w:pPr>
      <w:r>
        <w:t xml:space="preserve">The Business Continuity &amp; Disaster Recovery Plan: it maintains the backup arrangements that hold the copies this policy governs.</w:t>
      </w:r>
    </w:p>
    <w:p>
      <w:pPr>
        <w:pStyle w:val="ListBullet"/>
      </w:pPr>
      <w:r>
        <w:t xml:space="preserve">The Remote Work &amp; Mobile Device Policy: it applies this policy's storage and sanitization rules to devices and media.</w:t>
      </w:r>
    </w:p>
    <w:p>
      <w:pPr>
        <w:pStyle w:val="ListBullet"/>
      </w:pPr>
      <w:r>
        <w:t xml:space="preserve">The Vulnerability Management Policy: it prioritizes weaknesses partly by the classifications this policy defines.</w:t>
      </w:r>
    </w:p>
    <w:p>
      <w:pPr>
        <w:pStyle w:val="ListBullet"/>
      </w:pPr>
      <w:r>
        <w:t xml:space="preserve">The Change Management Policy: it judges a change's risk by these classifications, and leaves change-record retention to this policy's schedule.</w:t>
      </w:r>
    </w:p>
    <w:p>
      <w:pPr>
        <w:pStyle w:val="ListBullet"/>
      </w:pPr>
      <w:r>
        <w:t xml:space="preserve">The AI Acceptable Use Policy: the AI-specific rules for the approved AI tools Section 3.5 allows; this policy's classifications say what may go into them.</w:t>
      </w:r>
    </w:p>
    <w:p>
      <w:pPr>
        <w:pStyle w:val="ListBullet"/>
      </w:pPr>
      <w:r>
        <w:t xml:space="preserve">The Logging and Monitoring Policy: logs are records this policy classifies, its schedule retains, and its legal holds cover.</w:t>
      </w:r>
    </w:p>
    <w:p>
      <w:pPr>
        <w:pStyle w:val="ListBullet"/>
      </w:pPr>
      <w:r>
        <w:t xml:space="preserve">The Secure Development Policy: it classifies code and test data by this policy's levels, and extends this policy's bulk-extract approval to every copy of real data into test environments.</w:t>
      </w:r>
    </w:p>
    <w:p>
      <w:pPr>
        <w:pStyle w:val="ListBullet"/>
      </w:pPr>
      <w:r>
        <w:t xml:space="preserve">The Vendor Risk Management Policy: it writes the return-or-destruction duty of Section 3.8 into vendor contracts, and runs the vendor assessment Section 3.5 relies on.</w:t>
      </w:r>
    </w:p>
    <w:p>
      <w:pPr>
        <w:pStyle w:val="ListBullet"/>
      </w:pPr>
      <w:r>
        <w:t xml:space="preserve">The Physical and Environmental Security Policy: it protects the media, equipment, and premises that hold the information this policy classifies, and carries out the secure physical disposal this policy schedules.</w:t>
      </w:r>
    </w:p>
    <w:p>
      <w:r>
        <w:t xml:space="preserve">Where any of these does not exist yet, treat it as a roadmap item; the rules in this policy apply on their own regardless.</w:t>
      </w:r>
    </w:p>
    <w:p>
      <w:r>
        <w:t xml:space="preserve">At a policy level, these rules, together with the asset inventory the Information Security Policy requires, put into practice the information classification and handling controls of ISO/IEC 27001:2022 Annex A: controls 5.9 and 5.12 to 5.14 (inventory of information and other associated assets; classification of information; labelling of information; information transfer), control 5.33 (protection of records), controls 7.10 and 7.14 (storage media, and secure disposal or re-use of equipment), control 8.10 (information deletion), control 8.11 (data masking, through the test-copy rule of Section 3.4), and control 5.34 (privacy and protection of personal identifiable information, through Section 3.9).</w:t>
      </w:r>
    </w:p>
    <w:p>
      <w:r>
        <w:t xml:space="preserve">They support mainly the Identify and Protect functions of the NIST Cybersecurity Framework 2.0 (knowing what information the organization holds, and securing how it is stored, shared, and destroyed), and its Govern function through the retention, legal-hold, and regulatory-duty rules.</w:t>
      </w:r>
    </w:p>
    <w:p>
      <w:pPr>
        <w:pStyle w:val="Heading1"/>
      </w:pPr>
      <w:r>
        <w:t xml:space="preserve">Appendix 1: Handling Requirements by Classification</w:t>
      </w:r>
    </w:p>
    <w:p>
      <w:r>
        <w:t xml:space="preserve">Set the levels and examples to fit the organization; this scheme is a starting point most organizations can adopt as-is. When in doubt between two levels, choose the higher.</w:t>
      </w:r>
    </w:p>
    <w:tbl>
      <w:tblPr>
        <w:tblStyle w:val="TableGrid"/>
        <w:tblW w:type="auto" w:w="0"/>
        <w:tblLook w:firstColumn="1" w:firstRow="1" w:lastColumn="0" w:lastRow="0" w:noHBand="0" w:noVBand="1" w:val="04A0"/>
      </w:tblPr>
      <w:tblGrid>
        <w:gridCol w:w="1440"/>
        <w:gridCol w:w="2450"/>
        <w:gridCol w:w="3110"/>
        <w:gridCol w:w="1600"/>
        <w:gridCol w:w="2200"/>
      </w:tblGrid>
      <w:tr>
        <w:tc>
          <w:tcPr>
            <w:tcW w:type="dxa" w:w="1440"/>
          </w:tcPr>
          <w:p>
            <w:r>
              <w:rPr>
                <w:b/>
              </w:rPr>
              <w:t xml:space="preserve">Level</w:t>
            </w:r>
          </w:p>
        </w:tc>
        <w:tc>
          <w:tcPr>
            <w:tcW w:type="dxa" w:w="2450"/>
          </w:tcPr>
          <w:p>
            <w:r>
              <w:rPr>
                <w:b/>
              </w:rPr>
              <w:t xml:space="preserve">Typical examples</w:t>
            </w:r>
          </w:p>
        </w:tc>
        <w:tc>
          <w:tcPr>
            <w:tcW w:type="dxa" w:w="3110"/>
          </w:tcPr>
          <w:p>
            <w:r>
              <w:rPr>
                <w:b/>
              </w:rPr>
              <w:t xml:space="preserve">Storage and sharing</w:t>
            </w:r>
          </w:p>
        </w:tc>
        <w:tc>
          <w:tcPr>
            <w:tcW w:type="dxa" w:w="1600"/>
          </w:tcPr>
          <w:p>
            <w:r>
              <w:rPr>
                <w:b/>
              </w:rPr>
              <w:t>Labeling</w:t>
            </w:r>
          </w:p>
        </w:tc>
        <w:tc>
          <w:tcPr>
            <w:tcW w:type="dxa" w:w="2200"/>
          </w:tcPr>
          <w:p>
            <w:r>
              <w:rPr>
                <w:b/>
              </w:rPr>
              <w:t xml:space="preserve">Disposal</w:t>
            </w:r>
          </w:p>
        </w:tc>
      </w:tr>
      <w:tr>
        <w:tc>
          <w:tcPr>
            <w:tcW w:type="dxa" w:w="1440"/>
          </w:tcPr>
          <w:p>
            <w:r>
              <w:t xml:space="preserve">Public</w:t>
            </w:r>
          </w:p>
        </w:tc>
        <w:tc>
          <w:tcPr>
            <w:tcW w:type="dxa" w:w="2450"/>
          </w:tcPr>
          <w:p>
            <w:r>
              <w:t xml:space="preserve">Website content, marketing material, published guides</w:t>
            </w:r>
          </w:p>
        </w:tc>
        <w:tc>
          <w:tcPr>
            <w:tcW w:type="dxa" w:w="3110"/>
          </w:tcPr>
          <w:p>
            <w:r>
              <w:t xml:space="preserve">Master copies in approved organization systems; copies anywhere once release is approved (Section 3.2)</w:t>
            </w:r>
          </w:p>
        </w:tc>
        <w:tc>
          <w:tcPr>
            <w:tcW w:type="dxa" w:w="1600"/>
          </w:tcPr>
          <w:p>
            <w:r>
              <w:t xml:space="preserve">By publication</w:t>
            </w:r>
          </w:p>
        </w:tc>
        <w:tc>
          <w:tcPr>
            <w:tcW w:type="dxa" w:w="2200"/>
          </w:tcPr>
          <w:p>
            <w:r>
              <w:t xml:space="preserve">Ordinary deletion; keep the master copy safe</w:t>
            </w:r>
          </w:p>
        </w:tc>
      </w:tr>
      <w:tr>
        <w:tc>
          <w:tcPr>
            <w:tcW w:type="dxa" w:w="1440"/>
          </w:tcPr>
          <w:p>
            <w:r>
              <w:t xml:space="preserve">Internal (default)</w:t>
            </w:r>
          </w:p>
        </w:tc>
        <w:tc>
          <w:tcPr>
            <w:tcW w:type="dxa" w:w="2450"/>
          </w:tcPr>
          <w:p>
            <w:r>
              <w:t xml:space="preserve">Internal procedures, project plans, organization charts, most day-to-day email</w:t>
            </w:r>
          </w:p>
        </w:tc>
        <w:tc>
          <w:tcPr>
            <w:tcW w:type="dxa" w:w="3110"/>
          </w:tcPr>
          <w:p>
            <w:r>
              <w:t xml:space="preserve">Approved organization systems; share within the organization as work requires, outside only with a business reason, over approved channels</w:t>
            </w:r>
          </w:p>
        </w:tc>
        <w:tc>
          <w:tcPr>
            <w:tcW w:type="dxa" w:w="1600"/>
          </w:tcPr>
          <w:p>
            <w:r>
              <w:t xml:space="preserve">None (the default)</w:t>
            </w:r>
          </w:p>
        </w:tc>
        <w:tc>
          <w:tcPr>
            <w:tcW w:type="dxa" w:w="2200"/>
          </w:tcPr>
          <w:p>
            <w:r>
              <w:t xml:space="preserve">Ordinary deletion when no longer needed; media is still sanitized before disposal or reuse (Section 3.8)</w:t>
            </w:r>
          </w:p>
        </w:tc>
      </w:tr>
      <w:tr>
        <w:tc>
          <w:tcPr>
            <w:tcW w:type="dxa" w:w="1440"/>
          </w:tcPr>
          <w:p>
            <w:r>
              <w:t xml:space="preserve">Confidential</w:t>
            </w:r>
          </w:p>
        </w:tc>
        <w:tc>
          <w:tcPr>
            <w:tcW w:type="dxa" w:w="2450"/>
          </w:tcPr>
          <w:p>
            <w:r>
              <w:t xml:space="preserve">Customer data, personal information, financial records, intellectual property, credentials and keys, security configurations, contracts</w:t>
            </w:r>
          </w:p>
        </w:tc>
        <w:tc>
          <w:tcPr>
            <w:tcW w:type="dxa" w:w="3110"/>
          </w:tcPr>
          <w:p>
            <w:r>
              <w:t>Approved locations only; encrypted in transit and at rest; access on business need per the Access Control Policy; shared outside only under a contract or confidentiality agreement, over approved channels; a provider that will hold it is assessed first (Section 3.5)</w:t>
            </w:r>
          </w:p>
        </w:tc>
        <w:tc>
          <w:tcPr>
            <w:tcW w:type="dxa" w:w="1600"/>
          </w:tcPr>
          <w:p>
            <w:r>
              <w:t xml:space="preserve">Label where practical (Section 3.3)</w:t>
            </w:r>
          </w:p>
        </w:tc>
        <w:tc>
          <w:tcPr>
            <w:tcW w:type="dxa" w:w="2200"/>
          </w:tcPr>
          <w:p>
            <w:r>
              <w:t xml:space="preserve">Secure deletion; media wiped or destroyed, with a disposal record</w:t>
            </w:r>
          </w:p>
        </w:tc>
      </w:tr>
    </w:tbl>
    <w:p>
      <w:pPr>
        <w:pStyle w:val="Heading1"/>
      </w:pPr>
      <w:r>
        <w:t>Appendix 2: Retention Schedule Starter</w:t>
      </w:r>
    </w:p>
    <w:p>
      <w:r>
        <w:t xml:space="preserve">Adopt this as the retention schedule Section 3.6 requires, in this document or copied into a spreadsheet. The periods below are common starting points, not legal advice. Confirm each against the laws, regulations, and contracts that apply to the organization, and record the date confirmed. Add a row for each record type the organization holds. </w:t>
      </w:r>
      <w:r>
        <w:rPr>
          <w:highlight w:val="yellow"/>
        </w:rPr>
        <w:t xml:space="preserve">[Annually]</w:t>
      </w:r>
      <w:r>
        <w:t xml:space="preserve">, the Information Security Lead reviews disposals against this schedule with each row's owner, and records the review.</w:t>
      </w:r>
    </w:p>
    <w:tbl>
      <w:tblPr>
        <w:tblStyle w:val="TableGrid"/>
        <w:tblW w:type="auto" w:w="0"/>
        <w:tblLook w:firstColumn="1" w:firstRow="1" w:lastColumn="0" w:lastRow="0" w:noHBand="0" w:noVBand="1" w:val="04A0"/>
      </w:tblPr>
      <w:tblGrid>
        <w:gridCol w:w="2400"/>
        <w:gridCol w:w="1700"/>
        <w:gridCol w:w="2500"/>
        <w:gridCol w:w="2800"/>
        <w:gridCol w:w="1400"/>
      </w:tblGrid>
      <w:tr>
        <w:tc>
          <w:tcPr>
            <w:tcW w:type="dxa" w:w="2400"/>
          </w:tcPr>
          <w:p>
            <w:r>
              <w:rPr>
                <w:b/>
              </w:rPr>
              <w:t>Record type</w:t>
            </w:r>
          </w:p>
        </w:tc>
        <w:tc>
          <w:tcPr>
            <w:tcW w:type="dxa" w:w="1700"/>
          </w:tcPr>
          <w:p>
            <w:r>
              <w:rPr>
                <w:b/>
              </w:rPr>
              <w:t>Owner</w:t>
            </w:r>
          </w:p>
        </w:tc>
        <w:tc>
          <w:tcPr>
            <w:tcW w:type="dxa" w:w="2500"/>
          </w:tcPr>
          <w:p>
            <w:r>
              <w:rPr>
                <w:b/>
              </w:rPr>
              <w:t>Retention period</w:t>
            </w:r>
          </w:p>
        </w:tc>
        <w:tc>
          <w:tcPr>
            <w:tcW w:type="dxa" w:w="2800"/>
          </w:tcPr>
          <w:p>
            <w:r>
              <w:rPr>
                <w:b/>
              </w:rPr>
              <w:t>Reason</w:t>
            </w:r>
          </w:p>
        </w:tc>
        <w:tc>
          <w:tcPr>
            <w:tcW w:type="dxa" w:w="1400"/>
          </w:tcPr>
          <w:p>
            <w:r>
              <w:rPr>
                <w:b/>
              </w:rPr>
              <w:t>Minimum confirmed on</w:t>
            </w:r>
          </w:p>
        </w:tc>
      </w:tr>
      <w:tr>
        <w:tc>
          <w:tcPr>
            <w:tcW w:type="dxa" w:w="2400"/>
          </w:tcPr>
          <w:p>
            <w:r>
              <w:t>Contracts and agreements</w:t>
            </w:r>
          </w:p>
        </w:tc>
        <w:tc>
          <w:tcPr>
            <w:tcW w:type="dxa" w:w="1700"/>
          </w:tcPr>
          <w:p>
            <w:r>
              <w:rPr>
                <w:highlight w:val="yellow"/>
              </w:rPr>
              <w:t>[Operations]</w:t>
            </w:r>
          </w:p>
        </w:tc>
        <w:tc>
          <w:tcPr>
            <w:tcW w:type="dxa" w:w="2500"/>
          </w:tcPr>
          <w:p>
            <w:r>
              <w:rPr>
                <w:highlight w:val="yellow"/>
              </w:rPr>
              <w:t>[Six years after the contract ends]</w:t>
            </w:r>
          </w:p>
        </w:tc>
        <w:tc>
          <w:tcPr>
            <w:tcW w:type="dxa" w:w="2800"/>
          </w:tcPr>
          <w:p>
            <w:r>
              <w:t>Contract, law</w:t>
            </w:r>
          </w:p>
        </w:tc>
        <w:tc>
          <w:tcPr>
            <w:tcW w:type="dxa" w:w="1400"/>
          </w:tcPr>
          <w:p>
            <w:r>
              <w:rPr>
                <w:highlight w:val="yellow"/>
              </w:rPr>
              <w:t>[Date]</w:t>
            </w:r>
          </w:p>
        </w:tc>
      </w:tr>
      <w:tr>
        <w:tc>
          <w:tcPr>
            <w:tcW w:type="dxa" w:w="2400"/>
          </w:tcPr>
          <w:p>
            <w:r>
              <w:t>Financial and tax records</w:t>
            </w:r>
          </w:p>
        </w:tc>
        <w:tc>
          <w:tcPr>
            <w:tcW w:type="dxa" w:w="1700"/>
          </w:tcPr>
          <w:p>
            <w:r>
              <w:rPr>
                <w:highlight w:val="yellow"/>
              </w:rPr>
              <w:t>[Finance]</w:t>
            </w:r>
          </w:p>
        </w:tc>
        <w:tc>
          <w:tcPr>
            <w:tcW w:type="dxa" w:w="2500"/>
          </w:tcPr>
          <w:p>
            <w:r>
              <w:rPr>
                <w:highlight w:val="yellow"/>
              </w:rPr>
              <w:t>[Seven years]</w:t>
            </w:r>
          </w:p>
        </w:tc>
        <w:tc>
          <w:tcPr>
            <w:tcW w:type="dxa" w:w="2800"/>
          </w:tcPr>
          <w:p>
            <w:r>
              <w:t>Law, regulation</w:t>
            </w:r>
          </w:p>
        </w:tc>
        <w:tc>
          <w:tcPr>
            <w:tcW w:type="dxa" w:w="1400"/>
          </w:tcPr>
          <w:p>
            <w:r>
              <w:rPr>
                <w:highlight w:val="yellow"/>
              </w:rPr>
              <w:t>[Date]</w:t>
            </w:r>
          </w:p>
        </w:tc>
      </w:tr>
      <w:tr>
        <w:tc>
          <w:tcPr>
            <w:tcW w:type="dxa" w:w="2400"/>
          </w:tcPr>
          <w:p>
            <w:r>
              <w:t>Employment, payroll, and hiring records</w:t>
            </w:r>
          </w:p>
        </w:tc>
        <w:tc>
          <w:tcPr>
            <w:tcW w:type="dxa" w:w="1700"/>
          </w:tcPr>
          <w:p>
            <w:r>
              <w:rPr>
                <w:highlight w:val="yellow"/>
              </w:rPr>
              <w:t>[Human Resources]</w:t>
            </w:r>
          </w:p>
        </w:tc>
        <w:tc>
          <w:tcPr>
            <w:tcW w:type="dxa" w:w="2500"/>
          </w:tcPr>
          <w:p>
            <w:r>
              <w:rPr>
                <w:highlight w:val="yellow"/>
              </w:rPr>
              <w:t>[Per local employment law]</w:t>
            </w:r>
          </w:p>
        </w:tc>
        <w:tc>
          <w:tcPr>
            <w:tcW w:type="dxa" w:w="2800"/>
          </w:tcPr>
          <w:p>
            <w:r>
              <w:t>Law</w:t>
            </w:r>
          </w:p>
        </w:tc>
        <w:tc>
          <w:tcPr>
            <w:tcW w:type="dxa" w:w="1400"/>
          </w:tcPr>
          <w:p>
            <w:r>
              <w:rPr>
                <w:highlight w:val="yellow"/>
              </w:rPr>
              <w:t>[Date]</w:t>
            </w:r>
          </w:p>
        </w:tc>
      </w:tr>
      <w:tr>
        <w:tc>
          <w:tcPr>
            <w:tcW w:type="dxa" w:w="2400"/>
          </w:tcPr>
          <w:p>
            <w:r>
              <w:t>Customer records</w:t>
            </w:r>
          </w:p>
        </w:tc>
        <w:tc>
          <w:tcPr>
            <w:tcW w:type="dxa" w:w="1700"/>
          </w:tcPr>
          <w:p>
            <w:r>
              <w:rPr>
                <w:highlight w:val="yellow"/>
              </w:rPr>
              <w:t>[Role]</w:t>
            </w:r>
          </w:p>
        </w:tc>
        <w:tc>
          <w:tcPr>
            <w:tcW w:type="dxa" w:w="2500"/>
          </w:tcPr>
          <w:p>
            <w:r>
              <w:rPr>
                <w:highlight w:val="yellow"/>
              </w:rPr>
              <w:t>[Life of the customer relationship plus two years]</w:t>
            </w:r>
          </w:p>
        </w:tc>
        <w:tc>
          <w:tcPr>
            <w:tcW w:type="dxa" w:w="2800"/>
          </w:tcPr>
          <w:p>
            <w:r>
              <w:t>Business need, contract</w:t>
            </w:r>
          </w:p>
        </w:tc>
        <w:tc>
          <w:tcPr>
            <w:tcW w:type="dxa" w:w="1400"/>
          </w:tcPr>
          <w:p>
            <w:r>
              <w:rPr>
                <w:highlight w:val="yellow"/>
              </w:rPr>
              <w:t>[Date]</w:t>
            </w:r>
          </w:p>
        </w:tc>
      </w:tr>
      <w:tr>
        <w:tc>
          <w:tcPr>
            <w:tcW w:type="dxa" w:w="2400"/>
          </w:tcPr>
          <w:p>
            <w:r>
              <w:t>Closed incident records</w:t>
            </w:r>
          </w:p>
        </w:tc>
        <w:tc>
          <w:tcPr>
            <w:tcW w:type="dxa" w:w="1700"/>
          </w:tcPr>
          <w:p>
            <w:r>
              <w:t>Information Security Lead</w:t>
            </w:r>
          </w:p>
        </w:tc>
        <w:tc>
          <w:tcPr>
            <w:tcW w:type="dxa" w:w="2500"/>
          </w:tcPr>
          <w:p>
            <w:r>
              <w:rPr>
                <w:highlight w:val="yellow"/>
              </w:rPr>
              <w:t>[At least two years]</w:t>
            </w:r>
          </w:p>
        </w:tc>
        <w:tc>
          <w:tcPr>
            <w:tcW w:type="dxa" w:w="2800"/>
          </w:tcPr>
          <w:p>
            <w:r>
              <w:t>Business need (Section 3.6)</w:t>
            </w:r>
          </w:p>
        </w:tc>
        <w:tc>
          <w:tcPr>
            <w:tcW w:type="dxa" w:w="1400"/>
          </w:tcPr>
          <w:p>
            <w:r>
              <w:rPr>
                <w:highlight w:val="yellow"/>
              </w:rPr>
              <w:t>[Date]</w:t>
            </w:r>
          </w:p>
        </w:tc>
      </w:tr>
      <w:tr>
        <w:tc>
          <w:tcPr>
            <w:tcW w:type="dxa" w:w="2400"/>
          </w:tcPr>
          <w:p>
            <w:r>
              <w:t>Change records</w:t>
            </w:r>
          </w:p>
        </w:tc>
        <w:tc>
          <w:tcPr>
            <w:tcW w:type="dxa" w:w="1700"/>
          </w:tcPr>
          <w:p>
            <w:r>
              <w:rPr>
                <w:highlight w:val="yellow"/>
              </w:rPr>
              <w:t>[Change approver]</w:t>
            </w:r>
          </w:p>
        </w:tc>
        <w:tc>
          <w:tcPr>
            <w:tcW w:type="dxa" w:w="2500"/>
          </w:tcPr>
          <w:p>
            <w:r>
              <w:rPr>
                <w:highlight w:val="yellow"/>
              </w:rPr>
              <w:t>[At least two years]</w:t>
            </w:r>
          </w:p>
        </w:tc>
        <w:tc>
          <w:tcPr>
            <w:tcW w:type="dxa" w:w="2800"/>
          </w:tcPr>
          <w:p>
            <w:r>
              <w:t>Business need; period left to this schedule by the Change Management Policy</w:t>
            </w:r>
          </w:p>
        </w:tc>
        <w:tc>
          <w:tcPr>
            <w:tcW w:type="dxa" w:w="1400"/>
          </w:tcPr>
          <w:p>
            <w:r>
              <w:rPr>
                <w:highlight w:val="yellow"/>
              </w:rPr>
              <w:t>[Date]</w:t>
            </w:r>
          </w:p>
        </w:tc>
      </w:tr>
      <w:tr>
        <w:tc>
          <w:tcPr>
            <w:tcW w:type="dxa" w:w="2400"/>
          </w:tcPr>
          <w:p>
            <w:r>
              <w:t>Development security records (requirements, threat models, test results)</w:t>
            </w:r>
          </w:p>
        </w:tc>
        <w:tc>
          <w:tcPr>
            <w:tcW w:type="dxa" w:w="1700"/>
          </w:tcPr>
          <w:p>
            <w:r>
              <w:rPr>
                <w:highlight w:val="yellow"/>
              </w:rPr>
              <w:t>[Development lead]</w:t>
            </w:r>
          </w:p>
        </w:tc>
        <w:tc>
          <w:tcPr>
            <w:tcW w:type="dxa" w:w="2500"/>
          </w:tcPr>
          <w:p>
            <w:r>
              <w:rPr>
                <w:highlight w:val="yellow"/>
              </w:rPr>
              <w:t>[At least two years]</w:t>
            </w:r>
          </w:p>
        </w:tc>
        <w:tc>
          <w:tcPr>
            <w:tcW w:type="dxa" w:w="2800"/>
          </w:tcPr>
          <w:p>
            <w:r>
              <w:t>Business need; period left to this schedule by the Secure Development Policy</w:t>
            </w:r>
          </w:p>
        </w:tc>
        <w:tc>
          <w:tcPr>
            <w:tcW w:type="dxa" w:w="1400"/>
          </w:tcPr>
          <w:p>
            <w:r>
              <w:rPr>
                <w:highlight w:val="yellow"/>
              </w:rPr>
              <w:t>[Date]</w:t>
            </w:r>
          </w:p>
        </w:tc>
      </w:tr>
      <w:tr>
        <w:tc>
          <w:tcPr>
            <w:tcW w:type="dxa" w:w="2400"/>
          </w:tcPr>
          <w:p>
            <w:r>
              <w:t>Access records</w:t>
            </w:r>
          </w:p>
        </w:tc>
        <w:tc>
          <w:tcPr>
            <w:tcW w:type="dxa" w:w="1700"/>
          </w:tcPr>
          <w:p>
            <w:r>
              <w:t>Information Security Lead</w:t>
            </w:r>
          </w:p>
        </w:tc>
        <w:tc>
          <w:tcPr>
            <w:tcW w:type="dxa" w:w="2500"/>
          </w:tcPr>
          <w:p>
            <w:r>
              <w:t>At least twelve months</w:t>
            </w:r>
          </w:p>
        </w:tc>
        <w:tc>
          <w:tcPr>
            <w:tcW w:type="dxa" w:w="2800"/>
          </w:tcPr>
          <w:p>
            <w:r>
              <w:t>Business need; minimum set by the Access Control Policy</w:t>
            </w:r>
          </w:p>
        </w:tc>
        <w:tc>
          <w:tcPr>
            <w:tcW w:type="dxa" w:w="1400"/>
          </w:tcPr>
          <w:p>
            <w:r>
              <w:rPr>
                <w:highlight w:val="yellow"/>
              </w:rPr>
              <w:t>[Date]</w:t>
            </w:r>
          </w:p>
        </w:tc>
      </w:tr>
      <w:tr>
        <w:tc>
          <w:tcPr>
            <w:tcW w:type="dxa" w:w="2400"/>
          </w:tcPr>
          <w:p>
            <w:r>
              <w:t>Security logs</w:t>
            </w:r>
          </w:p>
        </w:tc>
        <w:tc>
          <w:tcPr>
            <w:tcW w:type="dxa" w:w="1700"/>
          </w:tcPr>
          <w:p>
            <w:r>
              <w:t>Information Security Lead</w:t>
            </w:r>
          </w:p>
        </w:tc>
        <w:tc>
          <w:tcPr>
            <w:tcW w:type="dxa" w:w="2500"/>
          </w:tcPr>
          <w:p>
            <w:r>
              <w:t xml:space="preserve">At least </w:t>
            </w:r>
            <w:r>
              <w:rPr>
                <w:highlight w:val="yellow"/>
              </w:rPr>
              <w:t>[twelve]</w:t>
            </w:r>
            <w:r>
              <w:t xml:space="preserve"> months</w:t>
            </w:r>
          </w:p>
        </w:tc>
        <w:tc>
          <w:tcPr>
            <w:tcW w:type="dxa" w:w="2800"/>
          </w:tcPr>
          <w:p>
            <w:r>
              <w:t>Business need; minimum set by the Incident Response Policy</w:t>
            </w:r>
          </w:p>
        </w:tc>
        <w:tc>
          <w:tcPr>
            <w:tcW w:type="dxa" w:w="1400"/>
          </w:tcPr>
          <w:p>
            <w:r>
              <w:rPr>
                <w:highlight w:val="yellow"/>
              </w:rPr>
              <w:t>[Date]</w:t>
            </w:r>
          </w:p>
        </w:tc>
      </w:tr>
    </w:tbl>
    <w:p>
      <w:pPr>
        <w:spacing w:after="0" w:before="0" w:line="20" w:lineRule="exact"/>
        <w:rPr>
          <w:sz w:val="4"/>
        </w:rPr>
      </w:pP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Data Handling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4103</Words>
  <Characters>23666</Characters>
  <DocSecurity>0</DocSecurity>
  <Lines>239</Lines>
  <Paragraphs>125</Paragraphs>
  <ScaleCrop>false</ScaleCrop>
  <HeadingPairs>
    <vt:vector size="2" baseType="variant">
      <vt:variant>
        <vt:lpstr>Title</vt:lpstr>
      </vt:variant>
      <vt:variant>
        <vt:i4>1</vt:i4>
      </vt:variant>
    </vt:vector>
  </HeadingPairs>
  <TitlesOfParts>
    <vt:vector size="1" baseType="lpstr">
      <vt:lpstr>Data Handling Policy</vt:lpstr>
    </vt:vector>
  </TitlesOfParts>
  <Manager/>
  <Company>anoBytes Technology Solutions LLC</Company>
  <LinksUpToDate>false</LinksUpToDate>
  <CharactersWithSpaces>27769</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Data Handling Policy</dc:title>
  <dc:subject>Data handling policy template</dc:subject>
  <dc:creator>Nelson Pereira, anoBytes Technology Solutions LLC</dc:creator>
  <cp:keywords>confidential, sanitization, personal information, privacy, masking, retention schedule, retention period, approved channels, intellectual property, handling duties, media sanitization</cp:keywords>
  <dc:description>The classification companion to our security policy set: three practical levels, handling rules for each, retention with legal holds, and secure disposal. Free to adapt for your organization.</dc:description>
  <cp:lastModifiedBy/>
  <cp:revision>1</cp:revision>
  <dcterms:created xsi:type="dcterms:W3CDTF">2026-07-14T00:00:00Z</dcterms:created>
  <dcterms:modified xsi:type="dcterms:W3CDTF">2026-08-06T00:00:00Z</dcterms:modified>
  <cp:category>Template</cp:category>
</cp:coreProperties>
</file>