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 xml:space="preserve">Email Security Policy</w:t>
      </w:r>
    </w:p>
    <w:p>
      <w:r>
        <w:rPr>
          <w:b/>
        </w:rPr>
        <w:t xml:space="preserve">Document Control</w:t>
      </w:r>
    </w:p>
    <w:tbl>
      <w:tblPr>
        <w:tblStyle w:val="TableGrid"/>
        <w:tblW w:type="auto" w:w="0"/>
        <w:tblLook w:firstColumn="1" w:firstRow="1" w:lastColumn="0" w:lastRow="0" w:noHBand="0" w:noVBand="1" w:val="04A0"/>
      </w:tblPr>
      <w:tblGrid>
        <w:gridCol w:w="3600"/>
        <w:gridCol w:w="7200"/>
      </w:tblGrid>
      <w:tr>
        <w:tc>
          <w:tcPr>
            <w:tcW w:type="dxa" w:w="3600"/>
          </w:tcPr>
          <w:p>
            <w:r>
              <w:rPr>
                <w:b/>
              </w:rPr>
              <w:t xml:space="preserve">Document title</w:t>
            </w:r>
          </w:p>
        </w:tc>
        <w:tc>
          <w:tcPr>
            <w:tcW w:type="dxa" w:w="7200"/>
          </w:tcPr>
          <w:p>
            <w:r>
              <w:t xml:space="preserve">Email Security Policy</w:t>
            </w:r>
          </w:p>
        </w:tc>
      </w:tr>
      <w:tr>
        <w:tc>
          <w:tcPr>
            <w:tcW w:type="dxa" w:w="3600"/>
          </w:tcPr>
          <w:p>
            <w:r>
              <w:rPr>
                <w:b/>
              </w:rPr>
              <w:t xml:space="preserve">Version</w:t>
            </w:r>
          </w:p>
        </w:tc>
        <w:tc>
          <w:tcPr>
            <w:tcW w:type="dxa" w:w="7200"/>
          </w:tcPr>
          <w:p>
            <w:r>
              <w:t xml:space="preserve">1.0</w:t>
            </w:r>
          </w:p>
        </w:tc>
      </w:tr>
      <w:tr>
        <w:tc>
          <w:tcPr>
            <w:tcW w:type="dxa" w:w="3600"/>
          </w:tcPr>
          <w:p>
            <w:r>
              <w:rPr>
                <w:b/>
              </w:rPr>
              <w:t xml:space="preserve">Document owner</w:t>
            </w:r>
          </w:p>
        </w:tc>
        <w:tc>
          <w:tcPr>
            <w:tcW w:type="dxa" w:w="7200"/>
          </w:tcPr>
          <w:p>
            <w:r>
              <w:t xml:space="preserve">Information Security Lead</w:t>
            </w:r>
          </w:p>
        </w:tc>
      </w:tr>
      <w:tr>
        <w:tc>
          <w:tcPr>
            <w:tcW w:type="dxa" w:w="3600"/>
          </w:tcPr>
          <w:p>
            <w:r>
              <w:rPr>
                <w:b/>
              </w:rPr>
              <w:t xml:space="preserve">Approved by</w:t>
            </w:r>
          </w:p>
        </w:tc>
        <w:tc>
          <w:tcPr>
            <w:tcW w:type="dxa" w:w="7200"/>
          </w:tcPr>
          <w:p>
            <w:r>
              <w:rPr>
                <w:highlight w:val="yellow"/>
              </w:rPr>
              <w:t xml:space="preserve">[Name and title, e.g., Chief Executive Officer]</w:t>
            </w:r>
          </w:p>
        </w:tc>
      </w:tr>
      <w:tr>
        <w:tc>
          <w:tcPr>
            <w:tcW w:type="dxa" w:w="3600"/>
          </w:tcPr>
          <w:p>
            <w:r>
              <w:rPr>
                <w:b/>
              </w:rPr>
              <w:t xml:space="preserve">Effective date</w:t>
            </w:r>
          </w:p>
        </w:tc>
        <w:tc>
          <w:tcPr>
            <w:tcW w:type="dxa" w:w="7200"/>
          </w:tcPr>
          <w:p>
            <w:r>
              <w:rPr>
                <w:highlight w:val="yellow"/>
              </w:rPr>
              <w:t xml:space="preserve">[Date]</w:t>
            </w:r>
          </w:p>
        </w:tc>
      </w:tr>
      <w:tr>
        <w:tc>
          <w:tcPr>
            <w:tcW w:type="dxa" w:w="3600"/>
          </w:tcPr>
          <w:p>
            <w:r>
              <w:rPr>
                <w:b/>
              </w:rPr>
              <w:t xml:space="preserve">Next review date</w:t>
            </w:r>
          </w:p>
        </w:tc>
        <w:tc>
          <w:tcPr>
            <w:tcW w:type="dxa" w:w="7200"/>
          </w:tcPr>
          <w:p>
            <w:r>
              <w:rPr>
                <w:highlight w:val="yellow"/>
              </w:rPr>
              <w:t xml:space="preserve">[Date, no later than one year after the effective date]</w:t>
            </w:r>
          </w:p>
        </w:tc>
      </w:tr>
      <w:tr>
        <w:tc>
          <w:tcPr>
            <w:tcW w:type="dxa" w:w="3600"/>
          </w:tcPr>
          <w:p>
            <w:r>
              <w:rPr>
                <w:b/>
              </w:rPr>
              <w:t xml:space="preserve">Classification</w:t>
            </w:r>
          </w:p>
        </w:tc>
        <w:tc>
          <w:tcPr>
            <w:tcW w:type="dxa" w:w="7200"/>
          </w:tcPr>
          <w:p>
            <w:r>
              <w:rPr>
                <w:highlight w:val="yellow"/>
              </w:rPr>
              <w:t xml:space="preserve">[e.g., Internal (shareable with customers and auditors on request)]</w:t>
            </w:r>
          </w:p>
        </w:tc>
      </w:tr>
    </w:tbl>
    <w:p/>
    <w:p>
      <w:r>
        <w:rPr>
          <w:b/>
        </w:rPr>
        <w:t xml:space="preserve">Revision History</w:t>
      </w:r>
    </w:p>
    <w:tbl>
      <w:tblPr>
        <w:tblStyle w:val="TableGrid"/>
        <w:tblW w:type="auto" w:w="0"/>
        <w:tblLook w:firstColumn="1" w:firstRow="1" w:lastColumn="0" w:lastRow="0" w:noHBand="0" w:noVBand="1" w:val="04A0"/>
      </w:tblPr>
      <w:tblGrid>
        <w:gridCol w:w="1800"/>
        <w:gridCol w:w="2400"/>
        <w:gridCol w:w="6600"/>
      </w:tblGrid>
      <w:tr>
        <w:tc>
          <w:tcPr>
            <w:tcW w:type="dxa" w:w="1800"/>
          </w:tcPr>
          <w:p>
            <w:r>
              <w:rPr>
                <w:b/>
              </w:rPr>
              <w:t xml:space="preserve">Version</w:t>
            </w:r>
          </w:p>
        </w:tc>
        <w:tc>
          <w:tcPr>
            <w:tcW w:type="dxa" w:w="2400"/>
          </w:tcPr>
          <w:p>
            <w:r>
              <w:rPr>
                <w:b/>
              </w:rPr>
              <w:t xml:space="preserve">Date</w:t>
            </w:r>
          </w:p>
        </w:tc>
        <w:tc>
          <w:tcPr>
            <w:tcW w:type="dxa" w:w="6600"/>
          </w:tcPr>
          <w:p>
            <w:r>
              <w:rPr>
                <w:b/>
              </w:rPr>
              <w:t xml:space="preserve">Summary of changes</w:t>
            </w:r>
          </w:p>
        </w:tc>
      </w:tr>
      <w:tr>
        <w:tc>
          <w:tcPr>
            <w:tcW w:type="dxa" w:w="1800"/>
          </w:tcPr>
          <w:p>
            <w:r>
              <w:t xml:space="preserve">1.0</w:t>
            </w:r>
          </w:p>
        </w:tc>
        <w:tc>
          <w:tcPr>
            <w:tcW w:type="dxa" w:w="2400"/>
          </w:tcPr>
          <w:p>
            <w:r>
              <w:rPr>
                <w:highlight w:val="yellow"/>
              </w:rPr>
              <w:t xml:space="preserve">[Date]</w:t>
            </w:r>
          </w:p>
        </w:tc>
        <w:tc>
          <w:tcPr>
            <w:tcW w:type="dxa" w:w="6600"/>
          </w:tcPr>
          <w:p>
            <w:r>
              <w:t xml:space="preserve">Initial version.</w:t>
            </w:r>
          </w:p>
        </w:tc>
      </w:tr>
    </w:tbl>
    <w:p/>
    <w:p>
      <w:pPr>
        <w:pStyle w:val="Heading1"/>
      </w:pPr>
      <w:r>
        <w:t xml:space="preserve">1.0 Purpose</w:t>
      </w:r>
    </w:p>
    <w:p>
      <w:r>
        <w:t xml:space="preserve">This policy sets how </w:t>
      </w:r>
      <w:r>
        <w:rPr>
          <w:highlight w:val="yellow"/>
        </w:rPr>
        <w:t xml:space="preserve">[Company Name]</w:t>
      </w:r>
      <w:r>
        <w:t xml:space="preserve"> ("the organization") secures its email: making its domains hard to impersonate, filtering what arrives, and protecting the mailboxes themselves.</w:t>
      </w:r>
    </w:p>
    <w:p>
      <w:r>
        <w:t xml:space="preserve">This policy is a supporting policy of the organization's Information Security Policy and covers the organization-side controls. The personal duties (spotting phishing, verifying payment-detail changes) stay in the Acceptable Use Policy. It gives effect to the relevant controls of ISO/IEC 27001:2022 Annex A and the corresponding outcomes of the NIST Cybersecurity Framework (CSF) 2.0 (see Section 9.0).</w:t>
      </w:r>
    </w:p>
    <w:p>
      <w:pPr>
        <w:pStyle w:val="Heading1"/>
      </w:pPr>
      <w:r>
        <w:t xml:space="preserve">2.0 Scope</w:t>
      </w:r>
    </w:p>
    <w:p>
      <w:r>
        <w:t xml:space="preserve">This policy applies to every domain the organization owns, sending or parked, and to every mailbox and mail service it operates or subscribes to; the email provider is a vendor under the Vendor Risk Management Policy. It governs domain authentication, inbound filtering, mailbox protections, and the monitoring of mail-security events. Encryption of mail in transit follows the Encryption Policy.</w:t>
      </w:r>
    </w:p>
    <w:p>
      <w:pPr>
        <w:pStyle w:val="Heading1"/>
      </w:pPr>
      <w:r>
        <w:t xml:space="preserve">3.0 Policy Statements</w:t>
      </w:r>
    </w:p>
    <w:p>
      <w:r>
        <w:t xml:space="preserve">Throughout this policy, a statement of what the organization or its people do ("is encrypted", "are recorded") is a requirement, as are "must", "shall", and direct instructions such as "use only" or "never". The words "may" and "is acceptable" mark a permission. Where a requirement needs a planned deviation, Section 6.0 describes how to request an exception. Text in square brackets marks a decision to make when adopting this policy: a placeholder to fill in, a starting value to set, or a passage to review and then keep, adapt, or delete. Remove the brackets after each decision.</w:t>
      </w:r>
    </w:p>
    <w:p>
      <w:pPr>
        <w:pStyle w:val="Heading2"/>
      </w:pPr>
      <w:r>
        <w:t xml:space="preserve">3.1 Domain Authentication</w:t>
      </w:r>
    </w:p>
    <w:p>
      <w:pPr>
        <w:pStyle w:val="ListBullet"/>
      </w:pPr>
      <w:r>
        <w:t xml:space="preserve">Every domain the organization sends mail from publishes the three open standards receiving servers check: SPF (Sender Policy Framework: the published list of servers allowed to send for the domain), DKIM (DomainKeys Identified Mail: a signature that proves a message left an authorized server unaltered), and DMARC (Domain-based Message Authentication, Reporting, and Conformance: the published instruction telling receivers what to do when those checks fail, and where to report).</w:t>
      </w:r>
    </w:p>
    <w:p>
      <w:pPr>
        <w:pStyle w:val="ListBullet"/>
      </w:pPr>
      <w:r>
        <w:t xml:space="preserve">DMARC starts in monitoring mode and tightens as its reports show legitimate mail passing, reaching </w:t>
      </w:r>
      <w:r>
        <w:rPr>
          <w:highlight w:val="yellow"/>
        </w:rPr>
        <w:t xml:space="preserve">[quarantine within 3 months, and reject within 6 months]</w:t>
      </w:r>
      <w:r>
        <w:t xml:space="preserve"> of adoption. The reports go to </w:t>
      </w:r>
      <w:r>
        <w:rPr>
          <w:highlight w:val="yellow"/>
        </w:rPr>
        <w:t xml:space="preserve">[a monitored mailbox or reporting service]</w:t>
      </w:r>
      <w:r>
        <w:t xml:space="preserve"> and are reviewed </w:t>
      </w:r>
      <w:r>
        <w:rPr>
          <w:highlight w:val="yellow"/>
        </w:rPr>
        <w:t xml:space="preserve">[monthly]</w:t>
      </w:r>
      <w:r>
        <w:t xml:space="preserve">.</w:t>
      </w:r>
    </w:p>
    <w:p>
      <w:pPr>
        <w:pStyle w:val="ListBullet"/>
      </w:pPr>
      <w:r>
        <w:t xml:space="preserve">Domains and subdomains that send no mail publish a record that authorizes no senders, and a reject instruction. A domain that receives no mail also publishes a null MX record (the domain record that tells senders it accepts no mail). Without these records, anyone can send mail that appears to come from a parked domain.</w:t>
      </w:r>
    </w:p>
    <w:p>
      <w:pPr>
        <w:pStyle w:val="ListBullet"/>
      </w:pPr>
      <w:r>
        <w:t xml:space="preserve">Where the email provider supports them, the organization also publishes an MTA-STS policy (Mail Transfer Agent Strict Transport Security: the published instruction that mail for the organization's domains must arrive over an encrypted connection) and turns on TLS reporting (TLS-RPT: senders' reports of failed encrypted delivery). These strengthen the transport encryption the Encryption Policy requires, and the reports are reviewed with this section's authentication reports.</w:t>
      </w:r>
    </w:p>
    <w:p>
      <w:pPr>
        <w:pStyle w:val="ListBullet"/>
      </w:pPr>
      <w:r>
        <w:t xml:space="preserve">DKIM signing keys belong to the key and certificate inventory the Encryption Policy keeps, and rotate under that policy.</w:t>
      </w:r>
    </w:p>
    <w:p>
      <w:pPr>
        <w:pStyle w:val="ListBullet"/>
      </w:pPr>
      <w:r>
        <w:t xml:space="preserve">Changes to the domain records behind this section follow the Change Management Policy.</w:t>
      </w:r>
    </w:p>
    <w:p>
      <w:pPr>
        <w:pStyle w:val="Heading2"/>
      </w:pPr>
      <w:r>
        <w:t xml:space="preserve">3.2 Inbound Filtering</w:t>
      </w:r>
    </w:p>
    <w:p>
      <w:pPr>
        <w:pStyle w:val="ListBullet"/>
      </w:pPr>
      <w:r>
        <w:t xml:space="preserve">The email provider's filtering is turned on and kept at </w:t>
      </w:r>
      <w:r>
        <w:rPr>
          <w:highlight w:val="yellow"/>
        </w:rPr>
        <w:t xml:space="preserve">[the provider's standard protection level or stronger]</w:t>
      </w:r>
      <w:r>
        <w:t xml:space="preserve">: spam and phishing filtering, malware scanning of attachments, and link checking where the provider offers it. Filtering is a provider capability the organization configures; the organization does not build its own.</w:t>
      </w:r>
    </w:p>
    <w:p>
      <w:pPr>
        <w:pStyle w:val="ListBullet"/>
      </w:pPr>
      <w:r>
        <w:t xml:space="preserve">Attachment types with no business use are blocked, starting with </w:t>
      </w:r>
      <w:r>
        <w:rPr>
          <w:highlight w:val="yellow"/>
        </w:rPr>
        <w:t xml:space="preserve">[executable and script attachments, and macro-enabled documents from outside]</w:t>
      </w:r>
      <w:r>
        <w:t xml:space="preserve">. </w:t>
      </w:r>
      <w:r>
        <w:rPr/>
        <w:t xml:space="preserve">Security operations, with IT,</w:t>
      </w:r>
      <w:r>
        <w:t xml:space="preserve"> reviews the quarantine; anything suspicious is released only by security operations.</w:t>
      </w:r>
    </w:p>
    <w:p>
      <w:pPr>
        <w:pStyle w:val="ListBullet"/>
      </w:pPr>
      <w:r>
        <w:t xml:space="preserve">Mail from outside the organization is marked so people can tell (an external tag), where the provider supports it. Impersonation protections for the organization's own names and domains (lookalike and display-name checks) are turned on where offered. These reduce business email compromise (BEC: fraud run through a compromised or impersonated business email account to have money sent or payment details changed), which filtering alone does not stop: mail sent from a genuinely compromised account passes every check in Section 3.1. The verification duty in the Acceptable Use Policy catches what the technical controls cannot.</w:t>
      </w:r>
    </w:p>
    <w:p>
      <w:pPr>
        <w:pStyle w:val="Heading2"/>
      </w:pPr>
      <w:r>
        <w:t xml:space="preserve">3.3 Mailbox Protections</w:t>
      </w:r>
    </w:p>
    <w:p>
      <w:pPr>
        <w:pStyle w:val="ListBullet"/>
      </w:pPr>
      <w:r>
        <w:t xml:space="preserve">Mailboxes sign in under the Access Control Policy, with multi-factor authentication (MFA: a second sign-in step) as that policy requires; a shared mailbox is reached through each person's own account rather than a shared password.</w:t>
      </w:r>
    </w:p>
    <w:p>
      <w:pPr>
        <w:pStyle w:val="ListBullet"/>
      </w:pPr>
      <w:r>
        <w:t xml:space="preserve">Automatic forwarding to outside addresses is blocked, or alerts security operations where blocking is not practical; an attacker who gets into a mailbox sets a forwarding rule to watch it quietly. Existing rules are reviewed at adoption, and whenever a mailbox is investigated.</w:t>
      </w:r>
    </w:p>
    <w:p>
      <w:pPr>
        <w:pStyle w:val="ListBullet"/>
      </w:pPr>
      <w:r>
        <w:t xml:space="preserve">Delegate access (one person reading or sending for another's mailbox) is granted and reviewed under the Access Control Policy.</w:t>
      </w:r>
    </w:p>
    <w:p>
      <w:pPr>
        <w:pStyle w:val="ListBullet"/>
      </w:pPr>
      <w:r>
        <w:t xml:space="preserve">A mailbox suspected compromised is a security incident under the Incident Response Policy: securing the account and checking its rules follow that policy, and a payment redirection follows its fraud path.</w:t>
      </w:r>
    </w:p>
    <w:p>
      <w:pPr>
        <w:pStyle w:val="Heading2"/>
      </w:pPr>
      <w:r>
        <w:t xml:space="preserve">3.4 Monitoring</w:t>
      </w:r>
    </w:p>
    <w:p>
      <w:pPr>
        <w:pStyle w:val="ListBullet"/>
      </w:pPr>
      <w:r>
        <w:t xml:space="preserve">Mail-security events (filtering verdicts, authentication reports, administrator changes to mail settings) are log sources under the Logging and Monitoring Policy, and anything that looks like an incident routes to the Incident Response Policy.</w:t>
      </w:r>
    </w:p>
    <w:p>
      <w:pPr>
        <w:pStyle w:val="Heading1"/>
      </w:pPr>
      <w:r>
        <w:t xml:space="preserve">4.0 Roles and Responsibilities</w:t>
      </w:r>
    </w:p>
    <w:p>
      <w:pPr>
        <w:pStyle w:val="ListBullet"/>
      </w:pPr>
      <w:r>
        <w:t xml:space="preserve">The Information Security Lead owns this policy, sets the filtering baseline of Section 3.2, and decides exceptions to it.</w:t>
      </w:r>
    </w:p>
    <w:p>
      <w:pPr>
        <w:pStyle w:val="ListBullet"/>
      </w:pPr>
      <w:r>
        <w:t xml:space="preserve">Security operations, with IT (an internal team or a qualified service provider; a small organization may assign the function to the Information Security Lead), reviews the quarantine and the authentication reports, receives forwarding alerts, and keeps Appendix 1 current.</w:t>
      </w:r>
    </w:p>
    <w:p>
      <w:pPr>
        <w:pStyle w:val="ListBullet"/>
      </w:pPr>
      <w:r>
        <w:t xml:space="preserve">Whoever administers the organization's domains keeps the Section 3.1 records current.</w:t>
      </w:r>
    </w:p>
    <w:p>
      <w:pPr>
        <w:pStyle w:val="Heading1"/>
      </w:pPr>
      <w:r>
        <w:t xml:space="preserve">5.0 Policy Review and Updates</w:t>
      </w:r>
    </w:p>
    <w:p>
      <w:r>
        <w:t xml:space="preserve">This policy shall be reviewed at least annually, and sooner when the business, technology, regulations, or the threat environment change significantly. The Information Security Lead starts the review, and Executive Management approves changes before they take effect, following the review process in the Information Security Policy.</w:t>
      </w:r>
    </w:p>
    <w:p>
      <w:pPr>
        <w:pStyle w:val="Heading1"/>
      </w:pPr>
      <w:r>
        <w:t xml:space="preserve">6.0 Exceptions</w:t>
      </w:r>
    </w:p>
    <w:p>
      <w:r>
        <w:t xml:space="preserve">Any planned deviation from this policy requires a documented exception, requested and approved through the exception process in the Information Security Policy. Submit the request in writing to the Information Security Lead. Describe the business reason, what the exception covers, how long it is needed, and any temporary safeguards that reduce the risk. Exceptions expire and are reviewed under that process.</w:t>
      </w:r>
    </w:p>
    <w:p>
      <w:r>
        <w:t xml:space="preserve">An exception documents a temporary gap that stays subject to expiry and review. A gap that is discovered rather than planned is reported and handled first (see Section 7.0); if it must stay open afterward, an exception is requested promptly. A deviation someone chose to make without approval, or a discovered gap kept outside this process, is a violation (see Section 8.0).</w:t>
      </w:r>
    </w:p>
    <w:p>
      <w:pPr>
        <w:pStyle w:val="Heading1"/>
      </w:pPr>
      <w:r>
        <w:t xml:space="preserve">7.0 Reporting Security Incidents and Concerns</w:t>
      </w:r>
    </w:p>
    <w:p>
      <w:r>
        <w:t xml:space="preserve">Report suspected phishing that got through, a mailbox behaving strangely (rules you did not set, mail you did not send), spoofed mail claiming to be the organization, and other security concerns promptly. Use the incident reporting contacts kept in the Information Security Policy (its Appendix 1). A report to any manager counts; the manager passes it to those contacts. Failing to report a security incident you know about or reasonably suspect is itself a policy violation (see Section 8.0).</w:t>
      </w:r>
    </w:p>
    <w:p>
      <w:r>
        <w:rPr>
          <w:highlight w:val="yellow"/>
        </w:rPr>
        <w:t xml:space="preserve">[No one is punished for the act of making a good-faith report; the report itself is never the offense. An honest mistake reported promptly is treated more leniently than one concealed, and a late report is treated more leniently than none. Any discipline for the underlying conduct follows Section 8.0.]</w:t>
      </w:r>
    </w:p>
    <w:p>
      <w:pPr>
        <w:pStyle w:val="Heading1"/>
      </w:pPr>
      <w:r>
        <w:t xml:space="preserve">8.0 Violations and Disciplinary Action</w:t>
      </w:r>
    </w:p>
    <w:p>
      <w:r>
        <w:t xml:space="preserve">Anyone who violates this policy can face disciplinary action, up to and including termination of employment or contract, and legal action where applicable. The response to a violation will depend on its severity, its impact on the organization's security, and any legal or regulatory requirements.</w:t>
      </w:r>
    </w:p>
    <w:p>
      <w:pPr>
        <w:pStyle w:val="Heading1"/>
      </w:pPr>
      <w:r>
        <w:t xml:space="preserve">9.0 Related Policies and Standards</w:t>
      </w:r>
    </w:p>
    <w:p>
      <w:r>
        <w:t xml:space="preserve">This policy is a supporting policy of the Information Security Policy, the top-level document of the organization's information security policy set. This policy may set stricter rules; a stricter rule is not a conflict. If this policy contradicts the Information Security Policy, the Information Security Policy prevails.</w:t>
      </w:r>
    </w:p>
    <w:p>
      <w:r>
        <w:t xml:space="preserve">It works alongside these policies:</w:t>
      </w:r>
    </w:p>
    <w:p>
      <w:pPr>
        <w:pStyle w:val="ListBullet"/>
      </w:pPr>
      <w:r>
        <w:t xml:space="preserve">The Information Security Policy: the program this policy supports; its approved-services rule stands behind the email provider.</w:t>
      </w:r>
    </w:p>
    <w:p>
      <w:pPr>
        <w:pStyle w:val="ListBullet"/>
      </w:pPr>
      <w:r>
        <w:t xml:space="preserve">The Acceptable Use Policy: the personal duties this policy backs up, spotting and reporting phishing and verifying payment-detail changes through a known channel.</w:t>
      </w:r>
    </w:p>
    <w:p>
      <w:pPr>
        <w:pStyle w:val="ListBullet"/>
      </w:pPr>
      <w:r>
        <w:t xml:space="preserve">The Access Control Policy: mailbox sign-in, MFA, delegate access, and account recovery.</w:t>
      </w:r>
    </w:p>
    <w:p>
      <w:pPr>
        <w:pStyle w:val="ListBullet"/>
      </w:pPr>
      <w:r>
        <w:t xml:space="preserve">The Incident Response Policy: handling what gets through, including its fraudulent payment and business email compromise path.</w:t>
      </w:r>
    </w:p>
    <w:p>
      <w:pPr>
        <w:pStyle w:val="ListBullet"/>
      </w:pPr>
      <w:r>
        <w:t xml:space="preserve">The Encryption Policy: mail transport encryption, and the key inventory that holds the DKIM signing keys.</w:t>
      </w:r>
    </w:p>
    <w:p>
      <w:pPr>
        <w:pStyle w:val="ListBullet"/>
      </w:pPr>
      <w:r>
        <w:t xml:space="preserve">The Vendor Risk Management Policy: the email provider this policy configures is a vendor it assesses.</w:t>
      </w:r>
    </w:p>
    <w:p>
      <w:pPr>
        <w:pStyle w:val="ListBullet"/>
      </w:pPr>
      <w:r>
        <w:t xml:space="preserve">The Logging and Monitoring Policy: where the mail-security events this policy produces are collected and watched.</w:t>
      </w:r>
    </w:p>
    <w:p>
      <w:pPr>
        <w:pStyle w:val="ListBullet"/>
      </w:pPr>
      <w:r>
        <w:t xml:space="preserve">The Change Management Policy: changes to domain records and mail settings run through it.</w:t>
      </w:r>
    </w:p>
    <w:p>
      <w:r>
        <w:t xml:space="preserve">Where any of these does not exist yet, treat it as a roadmap item; the rules in this policy apply on their own regardless.</w:t>
      </w:r>
    </w:p>
    <w:p>
      <w:r>
        <w:t xml:space="preserve">At a policy level, these rules put into practice the email-relevant controls of ISO/IEC 27001:2022 Annex A, among them control 5.14 (information transfer) and control 8.7 (protection against malware), and they support the Protect and Detect functions of the NIST Cybersecurity Framework 2.0. They put into practice the email safeguards of Control 9 (Email and Web Browser Protections) of the CIS Critical Security Controls Version 8.1, among them Safeguard 9.5 (Implement DMARC), which names the SPF, DKIM, and DMARC standards Section 3.1 requires.</w:t>
      </w:r>
    </w:p>
    <w:p>
      <w:pPr>
        <w:pStyle w:val="Heading1"/>
        <w:pageBreakBefore/>
      </w:pPr>
      <w:r>
        <w:t xml:space="preserve">Appendix 1: Mail Domain Checklist</w:t>
      </w:r>
    </w:p>
    <w:p>
      <w:r>
        <w:t xml:space="preserve">One row per domain the organization owns, sending or parked. Complete it at adoption, and re-check it at the annual review and whenever a domain is added.</w:t>
      </w:r>
    </w:p>
    <w:tbl>
      <w:tblPr>
        <w:tblStyle w:val="TableGrid"/>
        <w:tblW w:type="auto" w:w="0"/>
        <w:tblLook w:firstColumn="1" w:firstRow="1" w:lastColumn="0" w:lastRow="0" w:noHBand="0" w:noVBand="1" w:val="04A0"/>
      </w:tblPr>
      <w:tblGrid>
        <w:gridCol w:w="2600"/>
        <w:gridCol w:w="1700"/>
        <w:gridCol w:w="1700"/>
        <w:gridCol w:w="2400"/>
        <w:gridCol w:w="2400"/>
      </w:tblGrid>
      <w:tr>
        <w:tc>
          <w:tcPr>
            <w:tcW w:type="dxa" w:w="2600"/>
          </w:tcPr>
          <w:p>
            <w:r>
              <w:rPr>
                <w:b/>
              </w:rPr>
              <w:t xml:space="preserve">Domain</w:t>
            </w:r>
          </w:p>
        </w:tc>
        <w:tc>
          <w:tcPr>
            <w:tcW w:type="dxa" w:w="1700"/>
          </w:tcPr>
          <w:p>
            <w:r>
              <w:rPr>
                <w:b/>
              </w:rPr>
              <w:t xml:space="preserve">SPF</w:t>
            </w:r>
          </w:p>
        </w:tc>
        <w:tc>
          <w:tcPr>
            <w:tcW w:type="dxa" w:w="1700"/>
          </w:tcPr>
          <w:p>
            <w:r>
              <w:rPr>
                <w:b/>
              </w:rPr>
              <w:t xml:space="preserve">DKIM</w:t>
            </w:r>
          </w:p>
        </w:tc>
        <w:tc>
          <w:tcPr>
            <w:tcW w:type="dxa" w:w="2400"/>
          </w:tcPr>
          <w:p>
            <w:r>
              <w:rPr>
                <w:b/>
              </w:rPr>
              <w:t xml:space="preserve">DMARC instruction</w:t>
            </w:r>
          </w:p>
        </w:tc>
        <w:tc>
          <w:tcPr>
            <w:tcW w:type="dxa" w:w="2400"/>
          </w:tcPr>
          <w:p>
            <w:r>
              <w:rPr>
                <w:b/>
              </w:rPr>
              <w:t xml:space="preserve">Notes</w:t>
            </w:r>
          </w:p>
        </w:tc>
      </w:tr>
      <w:tr>
        <w:tc>
          <w:tcPr>
            <w:tcW w:type="dxa" w:w="2600"/>
          </w:tcPr>
          <w:p>
            <w:r>
              <w:rPr>
                <w:highlight w:val="yellow"/>
              </w:rPr>
              <w:t xml:space="preserve">[primary sending domain]</w:t>
            </w:r>
          </w:p>
        </w:tc>
        <w:tc>
          <w:tcPr>
            <w:tcW w:type="dxa" w:w="1700"/>
          </w:tcPr>
          <w:p/>
        </w:tc>
        <w:tc>
          <w:tcPr>
            <w:tcW w:type="dxa" w:w="1700"/>
          </w:tcPr>
          <w:p/>
        </w:tc>
        <w:tc>
          <w:tcPr>
            <w:tcW w:type="dxa" w:w="2400"/>
          </w:tcPr>
          <w:p>
            <w:r>
              <w:rPr>
                <w:highlight w:val="yellow"/>
              </w:rPr>
              <w:t xml:space="preserve">[monitoring, then quarantine, then reject]</w:t>
            </w:r>
          </w:p>
        </w:tc>
        <w:tc>
          <w:tcPr>
            <w:tcW w:type="dxa" w:w="2400"/>
          </w:tcPr>
          <w:p/>
        </w:tc>
      </w:tr>
      <w:tr>
        <w:tc>
          <w:tcPr>
            <w:tcW w:type="dxa" w:w="2600"/>
          </w:tcPr>
          <w:p>
            <w:r>
              <w:rPr>
                <w:highlight w:val="yellow"/>
              </w:rPr>
              <w:t xml:space="preserve">[other sending domain or subdomain]</w:t>
            </w:r>
          </w:p>
        </w:tc>
        <w:tc>
          <w:tcPr>
            <w:tcW w:type="dxa" w:w="1700"/>
          </w:tcPr>
          <w:p/>
        </w:tc>
        <w:tc>
          <w:tcPr>
            <w:tcW w:type="dxa" w:w="1700"/>
          </w:tcPr>
          <w:p/>
        </w:tc>
        <w:tc>
          <w:tcPr>
            <w:tcW w:type="dxa" w:w="2400"/>
          </w:tcPr>
          <w:p>
            <w:r>
              <w:rPr>
                <w:highlight w:val="yellow"/>
              </w:rPr>
              <w:t xml:space="preserve">[monitoring, then quarantine, then reject]</w:t>
            </w:r>
          </w:p>
        </w:tc>
        <w:tc>
          <w:tcPr>
            <w:tcW w:type="dxa" w:w="2400"/>
          </w:tcPr>
          <w:p/>
        </w:tc>
      </w:tr>
      <w:tr>
        <w:tc>
          <w:tcPr>
            <w:tcW w:type="dxa" w:w="2600"/>
          </w:tcPr>
          <w:p>
            <w:r>
              <w:rPr>
                <w:highlight w:val="yellow"/>
              </w:rPr>
              <w:t xml:space="preserve">[parked domain that sends no mail]</w:t>
            </w:r>
          </w:p>
        </w:tc>
        <w:tc>
          <w:tcPr>
            <w:tcW w:type="dxa" w:w="1700"/>
          </w:tcPr>
          <w:p>
            <w:r>
              <w:rPr>
                <w:highlight w:val="yellow"/>
              </w:rPr>
              <w:t xml:space="preserve">[authorizes no senders]</w:t>
            </w:r>
          </w:p>
        </w:tc>
        <w:tc>
          <w:tcPr>
            <w:tcW w:type="dxa" w:w="1700"/>
          </w:tcPr>
          <w:p>
            <w:r>
              <w:rPr>
                <w:highlight w:val="yellow"/>
              </w:rPr>
              <w:t xml:space="preserve">[not applicable]</w:t>
            </w:r>
          </w:p>
        </w:tc>
        <w:tc>
          <w:tcPr>
            <w:tcW w:type="dxa" w:w="2400"/>
          </w:tcPr>
          <w:p>
            <w:r>
              <w:rPr>
                <w:highlight w:val="yellow"/>
              </w:rPr>
              <w:t xml:space="preserve">[reject]</w:t>
            </w:r>
          </w:p>
        </w:tc>
        <w:tc>
          <w:tcPr>
            <w:tcW w:type="dxa" w:w="2400"/>
          </w:tcPr>
          <w:p>
            <w:r>
              <w:rPr>
                <w:highlight w:val="yellow"/>
              </w:rPr>
              <w:t xml:space="preserve">[reject-all records and null MX, Section 3.1]</w:t>
            </w:r>
          </w:p>
        </w:tc>
      </w:tr>
    </w:tbl>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8"/>
      </w:rPr>
      <w:t xml:space="preserve">Email Security Policy | Page </w:t>
    </w:r>
    <w:r>
      <w:rPr>
        <w:sz w:val="18"/>
      </w:rPr>
      <w:fldChar w:fldCharType="begin"/>
      <w:instrText xml:space="preserve">PAGE</w:instrText>
      <w:fldChar w:fldCharType="end"/>
    </w:r>
    <w:r>
      <w:rPr>
        <w:sz w:val="18"/>
      </w:rPr>
      <w:t xml:space="preserve"> of </w:t>
    </w:r>
    <w:r>
      <w:rPr>
        <w:sz w:val="18"/>
      </w:rPr>
      <w:fldChar w:fldCharType="begin"/>
      <w:instrText xml:space="preserve">NUMPAGES</w:instrText>
      <w:fldChar w:fldCharType="end"/>
    </w:r>
    <w:r>
      <w:rPr>
        <w:sz w:val="18"/>
      </w:rPr>
      <w:t xml:space="preserve"> | anobytes.com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720"/>
        </w:tabs>
        <w:ind w:left="72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0"/>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40" w:lineRule="auto"/>
    </w:pPr>
    <w:rPr>
      <w:rFonts w:ascii="Arial" w:hAnsi="Arial" w:cs="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rPr>
      <w:rFonts w:ascii="Arial" w:hAnsi="Arial" w:cs="Arial"/>
    </w:r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60" w:after="80"/>
      <w:outlineLvl w:val="0"/>
    </w:pPr>
    <w:rPr>
      <w:rFonts w:eastAsiaTheme="majorEastAsia" w:ascii="Arial" w:hAnsi="Arial" w:cs="Arial"/>
      <w:b/>
      <w:bCs/>
      <w:color w:val="365F91" w:themeColor="accent1" w:themeShade="BF"/>
      <w:sz w:val="26"/>
      <w:szCs w:val="28"/>
    </w:rPr>
  </w:style>
  <w:style w:type="paragraph" w:styleId="Heading2">
    <w:name w:val="heading 2"/>
    <w:basedOn w:val="Normal"/>
    <w:next w:val="Normal"/>
    <w:link w:val="Heading2Char"/>
    <w:uiPriority w:val="9"/>
    <w:unhideWhenUsed/>
    <w:qFormat/>
    <w:rsid w:val="00FC693F"/>
    <w:pPr>
      <w:keepNext/>
      <w:keepLines/>
      <w:spacing w:before="120" w:after="60"/>
      <w:outlineLvl w:val="1"/>
    </w:pPr>
    <w:rPr>
      <w:rFonts w:eastAsiaTheme="majorEastAsia" w:ascii="Arial" w:hAnsi="Arial" w:cs="Arial"/>
      <w:b/>
      <w:bCs/>
      <w:color w:val="4F81BD" w:themeColor="accent1"/>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eastAsiaTheme="majorEastAsia" w:ascii="Arial" w:hAnsi="Arial" w:cs="Arial"/>
      <w:color w:val="17365D" w:themeColor="text2" w:themeShade="BF"/>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40"/>
      <w:contextualSpacing/>
    </w:pPr>
    <w:rPr>
      <w:rFonts w:ascii="Arial" w:hAnsi="Arial" w:cs="Arial"/>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1673</Words>
  <Characters>18012</Characters>
  <DocSecurity>0</DocSecurity>
  <Lines>189</Lines>
  <Paragraphs>143</Paragraphs>
  <ScaleCrop>false</ScaleCrop>
  <HeadingPairs>
    <vt:vector size="2" baseType="variant">
      <vt:variant>
        <vt:lpstr>Title</vt:lpstr>
      </vt:variant>
      <vt:variant>
        <vt:i4>1</vt:i4>
      </vt:variant>
    </vt:vector>
  </HeadingPairs>
  <TitlesOfParts>
    <vt:vector size="1" baseType="lpstr">
      <vt:lpstr>Email Security Policy</vt:lpstr>
    </vt:vector>
  </TitlesOfParts>
  <Manager/>
  <Company>anoBytes Technology Solutions LLC</Company>
  <LinksUpToDate>false</LinksUpToDate>
  <CharactersWithSpaces>21265</CharactersWithSpaces>
  <SharedDoc>false</SharedDoc>
  <HyperlinkBase/>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dc:title>Email Security Policy</dc:title>
  <dc:subject>Email Security Policy template</dc:subject>
  <dc:creator>Nelson Pereira, anoBytes Technology Solutions LLC</dc:creator>
  <cp:keywords>bec, quarantine, impersonation, inbound filtering, domain authentication, dkim signing, sending domain, authentication reports, delegate access, reject, fraud, malware, attachments, payment-detail changes, forwarding, parked, phishing, null mx, mta-sts, tls-rpt</cp:keywords>
  <dc:description>The organization-side email protections: SPF, DKIM, and DMARC for your domains, provider filtering, and the mailbox rules that reduce business email compromise, aligned to CIS Control 9, Email and Web Browser Protections. Free to adapt for your organization.</dc:description>
  <cp:lastModifiedBy/>
  <cp:revision>1</cp:revision>
  <dcterms:created xsi:type="dcterms:W3CDTF">2026-07-30T00:00:00Z</dcterms:created>
  <dcterms:modified xsi:type="dcterms:W3CDTF">2026-08-06T00:00:00Z</dcterms:modified>
  <cp:category>Template</cp:category>
</cp:coreProperties>
</file>