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Encryption Policy</w:t>
      </w:r>
    </w:p>
    <w:p>
      <w:r>
        <w:rPr>
          <w:b/>
        </w:rPr>
        <w:t xml:space="preserve">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Encryption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 xml:space="preserve">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sets how </w:t>
      </w:r>
      <w:r>
        <w:rPr>
          <w:highlight w:val="yellow"/>
        </w:rPr>
        <w:t xml:space="preserve">[Company Name]</w:t>
      </w:r>
      <w:r>
        <w:t xml:space="preserve"> ("the organization") uses encryption to protect its information, and how it manages the keys that encryption depends on. Encryption turns readable information into a form that is meant to be read only with the right key, so that information which is lost, stolen, or intercepted is much harder for an unauthorized person to read. A key is a secret value, like a very long password, that locks and unlocks the information. Encryption reduces this risk rather than removing it.</w:t>
      </w:r>
    </w:p>
    <w:p>
      <w:r>
        <w:t xml:space="preserve">This policy is a supporting policy of the organization's Information Security Policy. It gives effect to that policy's requirement to encrypt sensitive information in transit and at rest (while moving over networks and while stored) using current methods, and to protect and manage encryption keys carefully. It also gives effect to the use-of-cryptography control of ISO/IEC 27001:2022 Annex A and the corresponding outcomes of the NIST Cybersecurity Framework (CSF) 2.0 (see Section 9.0).</w:t>
      </w:r>
    </w:p>
    <w:p>
      <w:pPr>
        <w:pStyle w:val="Heading1"/>
      </w:pPr>
      <w:r>
        <w:t xml:space="preserve">2.0 Scope</w:t>
      </w:r>
    </w:p>
    <w:p>
      <w:r>
        <w:rPr/>
        <w:t>This policy applies to all cryptography that protects the organization's information; cryptography here means encryption and the related hashing and signing methods. It covers data at rest (stored on servers, databases, laptops and mobile devices, removable media, and backups), data in transit (moving over networks or between services), and the keys and certificates that protect that information. A certificate is the digital file that proves a service's identity and helps set up an encrypted connection. These rules apply wherever the information is held, including cloud and provider systems. This policy governs everyone who builds, configures, or operates systems that store or transmit the organization's information: employees, contractors, and service providers.</w:t>
      </w:r>
    </w:p>
    <w:p>
      <w:r>
        <w:rPr/>
        <w:t>The Access Control Policy governs authentication and access credentials (passwords, API keys, and tokens): how people sign in, how those credentials are stored, and how they are replaced (rotated). This policy governs the cryptographic keys that protect the organization's information. It also sets the cryptographic methods behind both those keys and those sign-in credentials: the encryption, the password hashing, and the signing they rely on. Full-disk encryption scrambles a device's whole drive so a lost or stolen device reveals nothing to anyone who cannot unlock it. It is required on devices by the Remote Work &amp; Mobile Device Policy; this policy sets the standard that encryption meets.</w:t>
      </w:r>
    </w:p>
    <w:p>
      <w:pPr>
        <w:pStyle w:val="Heading1"/>
      </w:pPr>
      <w:r>
        <w:t xml:space="preserve">3.0 Policy Statements</w:t>
      </w:r>
    </w:p>
    <w:p>
      <w:r>
        <w:t xml:space="preserve">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What Is Encrypted</w:t>
      </w:r>
    </w:p>
    <w:p>
      <w:pPr>
        <w:pStyle w:val="ListBullet"/>
      </w:pPr>
      <w:r>
        <w:t xml:space="preserve">Sensitive information is encrypted </w:t>
      </w:r>
      <w:r>
        <w:rPr>
          <w:b/>
        </w:rPr>
        <w:t xml:space="preserve">in transit</w:t>
      </w:r>
      <w:r>
        <w:t xml:space="preserve"> and </w:t>
      </w:r>
      <w:r>
        <w:rPr>
          <w:b/>
        </w:rPr>
        <w:t xml:space="preserve">at rest</w:t>
      </w:r>
      <w:r>
        <w:t xml:space="preserve">, as the Information Security Policy requires. In transit means while it moves over a network, between a person and a service, or between two services. At rest means while it is stored, on a disk, in a database, on removable media, or in a backup. In practice, the information these rules protect is what the Data Handling Policy classifies as Confidential; the organization may encrypt information of a lower classification as well.</w:t>
      </w:r>
    </w:p>
    <w:p>
      <w:pPr>
        <w:pStyle w:val="ListBullet"/>
      </w:pPr>
      <w:r>
        <w:rPr/>
        <w:t>Confidential information in transit is protected with an encrypted connection (</w:t>
      </w:r>
      <w:r>
        <w:rPr>
          <w:highlight w:val="yellow"/>
        </w:rPr>
        <w:t>[TLS 1.2 or higher; TLS 1.3 preferred]</w:t>
      </w:r>
      <w:r>
        <w:rPr/>
        <w:t>, Section 3.2), including over internal and cloud provider networks. Sending Confidential information across a network without encryption is allowed only under a documented exception (Section 6.0). Public-facing services such as the website and any customer portal use an encrypted connection. A request that arrives unencrypted is redirected to the encrypted address.</w:t>
      </w:r>
    </w:p>
    <w:p>
      <w:pPr>
        <w:pStyle w:val="ListBullet"/>
      </w:pPr>
      <w:r>
        <w:t xml:space="preserve">Email in transit is protected with an encrypted connection between mail servers (transport encryption) wherever the receiving mail server supports it. Where the receiving server does not support it, Confidential information is instead shared through an encrypted sharing channel approved under the Data Handling Policy, for example a link to an approved shared store, or sent under a documented exception (Section 6.0).</w:t>
      </w:r>
    </w:p>
    <w:p>
      <w:pPr>
        <w:pStyle w:val="ListBullet"/>
      </w:pPr>
      <w:r>
        <w:t xml:space="preserve">Confidential information at rest is encrypted in every location it is stored, whether or not that location is one of the examples here: servers and databases, laptops and mobile devices (full-disk encryption, as the Remote Work &amp; Mobile Device Policy requires), removable media, and backups (as the Business Continuity &amp; Disaster Recovery Plan requires).</w:t>
      </w:r>
    </w:p>
    <w:p>
      <w:pPr>
        <w:pStyle w:val="ListBullet"/>
      </w:pPr>
      <w:r>
        <w:t>Where a cloud or SaaS service (software used over the internet) holds the organization's Confidential information, encryption at rest is turned on. A service that cannot encrypt Confidential information at rest is not used for it unless the gap is recorded and handled through the exception process (Section 6.0). Where a service offers customer-managed keys (the organization controls its own key rather than leaving control wholly with the provider), the organization prefers them for its Confidential information. Controlling the key lets the organization cut off the service's ongoing ability to decrypt the information.</w:t>
      </w:r>
    </w:p>
    <w:p>
      <w:pPr>
        <w:pStyle w:val="ListBullet"/>
      </w:pPr>
      <w:r>
        <w:t xml:space="preserve">Encryption is turned on before Confidential information is first written to a new device or store, and it stays in place from that first write onward. Choosing to write Confidential information unencrypted and encrypt it afterward is not allowed. Where an existing store already holds Confidential information unencrypted, that gap is reported under Section 7.0. The store is then encrypted promptly. Encrypting from first use is also what lets the organization dispose of information by destroying its key (Section 3.7, and the Data Handling Policy).</w:t>
      </w:r>
    </w:p>
    <w:p>
      <w:pPr>
        <w:pStyle w:val="ListBullet"/>
      </w:pPr>
      <w:r>
        <w:t>Encryption can also reduce what the organization has to do after a breach. Under many US state laws, if encrypted data is lost but the keys stayed protected, the loss may not trigger the same notification duties as the loss of readable data. This is a reason the organization encrypts and protects its keys. It is no guarantee: whether notice is required is decided under the Incident Response Policy and the duties the organization has recorded, case by case.</w:t>
      </w:r>
    </w:p>
    <w:p>
      <w:pPr>
        <w:pStyle w:val="Heading2"/>
      </w:pPr>
      <w:r>
        <w:t xml:space="preserve">3.2 Approved Methods</w:t>
      </w:r>
    </w:p>
    <w:p>
      <w:pPr>
        <w:pStyle w:val="ListBullet"/>
      </w:pPr>
      <w:r>
        <w:rPr/>
        <w:t>The organization uses only encryption methods that current guidance from NIST (the US standards body) still approves as strong. That means the right algorithms (the mathematical recipes that do the scrambling), key sizes (how long a key is; a longer key is harder to break), and protocols (the agreed steps two systems follow to set up a secure connection). Appendix 1 lists the specific methods to set for data at rest, data in transit, signatures, and hashing.</w:t>
      </w:r>
    </w:p>
    <w:p>
      <w:pPr>
        <w:pStyle w:val="ListBullet"/>
      </w:pPr>
      <w:r>
        <w:t xml:space="preserve">NIST's guidance defines what "current" means here and says when a method retires. NIST Special Publication (SP) 800-131A covers approved algorithms and key sizes; FIPS 140-3 covers validated implementations (encryption software or hardware that has passed independent testing against the standard). One exception: password hashing, where the functions this section names go beyond NIST's list.</w:t>
      </w:r>
    </w:p>
    <w:p>
      <w:pPr>
        <w:pStyle w:val="ListBullet"/>
      </w:pPr>
      <w:r>
        <w:t xml:space="preserve">General hashing (reducing data to a short, fixed fingerprint that cannot be reversed) uses SHA-256 or higher, for integrity checks (confirming data has not been altered) and digital signatures (cryptographic seals that prove who created data and that it has not changed since).</w:t>
      </w:r>
    </w:p>
    <w:p>
      <w:pPr>
        <w:pStyle w:val="ListBullet"/>
      </w:pPr>
      <w:r>
        <w:t xml:space="preserve">Passwords are not encrypted for storage; they are stored hashed, so the stored value cannot be turned back into the password. The hash uses a function designed for passwords (</w:t>
      </w:r>
      <w:r>
        <w:rPr>
          <w:highlight w:val="yellow"/>
        </w:rPr>
        <w:t xml:space="preserve">[bcrypt, scrypt, Argon2, or PBKDF2]</w:t>
      </w:r>
      <w:r>
        <w:t xml:space="preserve">), built to be slow so that bulk guessing is impractical, as the Access Control Policy requires. This policy sets that method; the Access Control Policy governs the credentials themselves.</w:t>
      </w:r>
    </w:p>
    <w:p>
      <w:pPr>
        <w:pStyle w:val="ListBullet"/>
      </w:pPr>
      <w:r>
        <w:t xml:space="preserve">Methods that are broken or retired are not used for protecting the organization's information: DES, 3DES, RC4, MD5, SHA-1, SSL, TLS 1.0 and 1.1, and any other broken or retired method. A system found still relying on one is fixed under the Vulnerability Management Policy. A weak algorithm or protocol is a vulnerability like any other.</w:t>
      </w:r>
    </w:p>
    <w:p>
      <w:pPr>
        <w:pStyle w:val="ListBullet"/>
      </w:pPr>
      <w:r>
        <w:rPr/>
        <w:t>The organization uses encryption built into a reputable operating system, database, or cloud service, or encryption validated under a recognized standard (FIPS 140-3), rather than encryption it writes itself. The organization does not invent its own encryption algorithms.</w:t>
      </w:r>
    </w:p>
    <w:p>
      <w:pPr>
        <w:pStyle w:val="ListBullet"/>
      </w:pPr>
      <w:r>
        <w:t xml:space="preserve">For information whose secrecy must last many years, and for signatures that must stay trustworthy that long, the organization tracks the move to post-quantum cryptography: methods designed to resist a future quantum computer, a machine that could break much of today's cryptography. NIST standardized the first such methods in 2024, for both encryption and signing. The organization also plans its migration to them: information captured today could be stored and decrypted once such computers exist, and signatures made today could be forged once they do.</w:t>
      </w:r>
    </w:p>
    <w:p>
      <w:pPr>
        <w:pStyle w:val="ListBullet"/>
      </w:pPr>
      <w:r>
        <w:t xml:space="preserve">Encryption also carries legal duties that vary by place and by industry. Some laws, regulations, and contracts require encryption for particular information, or set the method that qualifies. Separately, some countries control the export, import, or use of strong encryption, and moving encrypted systems or tools across a border can trigger those controls. The organization records the encryption-related legal, regulatory, and contractual requirements that apply to it, as the Information Security Policy requires. The organization follows them. Where such a requirement is stricter than this policy, the stricter requirement governs.</w:t>
      </w:r>
    </w:p>
    <w:p>
      <w:pPr>
        <w:pStyle w:val="Heading2"/>
      </w:pPr>
      <w:r>
        <w:t xml:space="preserve">3.3 Managing Keys</w:t>
      </w:r>
    </w:p>
    <w:p>
      <w:pPr>
        <w:pStyle w:val="ListBullet"/>
      </w:pPr>
      <w:r>
        <w:rPr/>
        <w:t>Encryption is only as strong as the keys behind it, so the organization manages every key through its whole life: generation, storage, use, sharing, rotation, backup, compromise handling, and destruction. These rules cover the cryptographic keys that protect the organization's information; the Access Control Policy covers the credentials people and systems use to sign in.</w:t>
      </w:r>
    </w:p>
    <w:p>
      <w:pPr>
        <w:pStyle w:val="ListBullet"/>
      </w:pPr>
      <w:r>
        <w:rPr/>
        <w:t>Keys are generated by the platform's encryption system or a key management service, using a cryptographically secure random generator, so they cannot practicably be guessed. A key is never generated by hand or by a general-purpose random function. It is acceptable to derive a key from a strong passphrase with a key derivation function built for that purpose, as backup tools commonly do. A key is never reused across unrelated systems, so that one exposure cannot unlock everything.</w:t>
      </w:r>
    </w:p>
    <w:p>
      <w:pPr>
        <w:pStyle w:val="ListBullet"/>
      </w:pPr>
      <w:r>
        <w:rPr/>
        <w:t xml:space="preserve">Keys are kept in approved secret storage, meaning a system built to hold keys safely: the store the Information Security Lead designates under the Access Control Policy. That store is a key management service (KMS: a service built to create and hold keys), a hardware security module (HSM: a dedicated physical device built to hold keys), or a platform key vault (a key store built into an operating system or cloud platform).</w:t>
      </w:r>
    </w:p>
    <w:p>
      <w:pPr>
        <w:pStyle w:val="ListBullet"/>
      </w:pPr>
      <w:r>
        <w:t xml:space="preserve">Where a cloud platform manages keys on the organization's behalf, the platform's key listing satisfies the inventory for those keys and the platform's rotation satisfies rotation; the organization still decides who may administer them, and this section's access rules and reviews still apply.</w:t>
      </w:r>
    </w:p>
    <w:p>
      <w:pPr>
        <w:pStyle w:val="ListBullet"/>
      </w:pPr>
      <w:r>
        <w:rPr/>
        <w:t xml:space="preserve">The key that ultimately protects the data is kept apart from that data. A key that directly encrypts the data (a data key) may be stored in wrapped (encrypted) form beside that data, because the key that unwraps it stays in the approved secret storage.</w:t>
      </w:r>
    </w:p>
    <w:p>
      <w:pPr>
        <w:pStyle w:val="ListBullet"/>
      </w:pPr>
      <w:r>
        <w:rPr/>
        <w:t xml:space="preserve">A key is never stored in plain text in code, in a repository, in a configuration file, in a document, or unwrapped next to the data it protects. The sealed printed restore copy that Section 3.4 permits is the one exception. The organization scans its code and repositories for keys committed to them. A key found in one is treated as exposed and reported (Section 7.0).</w:t>
      </w:r>
    </w:p>
    <w:p>
      <w:pPr>
        <w:pStyle w:val="ListBullet"/>
      </w:pPr>
      <w:r>
        <w:t>A key is shared only by granting access to it in the approved secret storage or by sending it wrapped (encrypted under another approved key); a key is never pasted into email, chat, a ticket, or a document.</w:t>
      </w:r>
    </w:p>
    <w:p>
      <w:pPr>
        <w:pStyle w:val="ListBullet"/>
      </w:pPr>
      <w:r>
        <w:t xml:space="preserve">Access to keys is limited to the people and systems that need it. The approved secret storage logs each access to the keys it holds. Security operations reviews who and what can access keys at least </w:t>
      </w:r>
      <w:r>
        <w:rPr>
          <w:highlight w:val="yellow"/>
        </w:rPr>
        <w:t xml:space="preserve">[quarterly]</w:t>
      </w:r>
      <w:r>
        <w:t xml:space="preserve">. For a key the organization cannot afford to lose, granting or widening access requires a second person's approval. Where the organization is too small for a second approver, the grant is reviewed periodically by an independent party instead, as the Information Security Policy provides.</w:t>
      </w:r>
    </w:p>
    <w:p>
      <w:pPr>
        <w:pStyle w:val="ListBullet"/>
      </w:pPr>
      <w:r>
        <w:t xml:space="preserve">Every key has a limited working life, called its </w:t>
      </w:r>
      <w:r>
        <w:rPr>
          <w:b/>
        </w:rPr>
        <w:t xml:space="preserve">cryptoperiod</w:t>
      </w:r>
      <w:r>
        <w:t xml:space="preserve">. On a set schedule, each key is replaced with a new key, which is called rotation. A key is also rotated at once whenever compromise is suspected. A shorter working life limits how much information is exposed if a key is ever lost. </w:t>
      </w:r>
      <w:r>
        <w:rPr>
          <w:highlight w:val="yellow"/>
        </w:rPr>
        <w:t xml:space="preserve">[Set the rotation period for each kind of key when adopting this policy. Starting points: turn on the provider's automatic rotation for managed cloud keys and keep its default period; rotate keys the organization holds itself at least annually.]</w:t>
      </w:r>
    </w:p>
    <w:p>
      <w:pPr>
        <w:pStyle w:val="ListBullet"/>
      </w:pPr>
      <w:r>
        <w:t xml:space="preserve">Keys are protected for confidentiality (kept secret) and for integrity (protected from being altered or replaced). Each key is used only for the one purpose it was created for.</w:t>
      </w:r>
    </w:p>
    <w:p>
      <w:pPr>
        <w:pStyle w:val="Heading2"/>
      </w:pPr>
      <w:r>
        <w:t xml:space="preserve">3.4 Key Backup and Recovery</w:t>
      </w:r>
    </w:p>
    <w:p>
      <w:pPr>
        <w:pStyle w:val="ListBullet"/>
      </w:pPr>
      <w:r>
        <w:rPr/>
        <w:t>Keys needed to recover the organization's information are backed up, so that losing a key does not mean losing the data it protects. A key backup is protected at least as strongly as the key itself. Where a provider-managed key cannot leave the provider's platform, it relies on the provider's own redundancy instead. The key and certificate inventory (Section 3.6) notes that reliance.</w:t>
      </w:r>
    </w:p>
    <w:p>
      <w:pPr>
        <w:pStyle w:val="ListBullet"/>
      </w:pPr>
      <w:r>
        <w:rPr/>
        <w:t>A copy of the keys needed to restore from backup is kept outside the environment they restore, as the Business Continuity &amp; Disaster Recovery Plan requires. That copy is held with the offline restore credentials the plan keeps, either wrapped or sealed in printed form under the plan's controls.</w:t>
      </w:r>
    </w:p>
    <w:p>
      <w:pPr>
        <w:pStyle w:val="ListBullet"/>
      </w:pPr>
      <w:r>
        <w:rPr/>
        <w:t>Recovery keys and any escrowed copies are held under the same access controls as the working keys. An escrowed copy is a spare copy the organization holds so that data can be recovered if the working key is lost. No single person holds the only copy of a key the organization cannot afford to lose.</w:t>
      </w:r>
    </w:p>
    <w:p>
      <w:pPr>
        <w:pStyle w:val="Heading2"/>
      </w:pPr>
      <w:r>
        <w:t xml:space="preserve">3.5 Key Compromise</w:t>
      </w:r>
    </w:p>
    <w:p>
      <w:pPr>
        <w:pStyle w:val="ListBullet"/>
      </w:pPr>
      <w:r>
        <w:t xml:space="preserve">A key that is lost, exposed, or otherwise suspected of compromise is reported at once (Section 7.0). It is then handled as a security incident under the Incident Response Policy. Its working life ends the moment compromise is suspected, whatever schedule it was on.</w:t>
      </w:r>
    </w:p>
    <w:p>
      <w:pPr>
        <w:pStyle w:val="ListBullet"/>
      </w:pPr>
      <w:r>
        <w:t xml:space="preserve">The compromised key is taken out of use and replaced with a new one. All information the compromised key protected is then re-encrypted under the new key, unless that information has already been securely destroyed. Anything the old key could still unlock, including backups and stored copies, is treated as exposed until it is re-protected or safely retired.</w:t>
      </w:r>
    </w:p>
    <w:p>
      <w:pPr>
        <w:pStyle w:val="Heading2"/>
      </w:pPr>
      <w:r>
        <w:t xml:space="preserve">3.6 Certificates and the Key Inventory</w:t>
      </w:r>
    </w:p>
    <w:p>
      <w:pPr>
        <w:pStyle w:val="ListBullet"/>
      </w:pPr>
      <w:r>
        <w:t xml:space="preserve">The organization keeps a key and certificate inventory (a tab in the asset inventory works). For each certificate, the inventory records who owns it. At least </w:t>
      </w:r>
      <w:r>
        <w:rPr>
          <w:highlight w:val="yellow"/>
        </w:rPr>
        <w:t xml:space="preserve">[quarterly]</w:t>
      </w:r>
      <w:r>
        <w:t xml:space="preserve">, security operations reconciles the inventory against the certificates actually in use, and against the keys that the approved stores and platforms can list, so a key or certificate missing from the inventory is found.</w:t>
      </w:r>
    </w:p>
    <w:p>
      <w:pPr>
        <w:pStyle w:val="ListBullet"/>
      </w:pPr>
      <w:r>
        <w:t>Certificates come from a certificate authority (CA) the Information Security Lead approves. Each certificate has a named owner responsible for renewing it before it expires. Where the platform supports it, renewal is automated (for example with the ACME protocol, which renews certificates without anyone acting) so a certificate does not lapse unnoticed. Where renewal is manual, its date is tracked and acted on early, because an expired certificate breaks the service it protects and warns visitors away.</w:t>
      </w:r>
    </w:p>
    <w:p>
      <w:pPr>
        <w:pStyle w:val="ListBullet"/>
      </w:pPr>
      <w:r>
        <w:t xml:space="preserve">A certificate's private key (the secret key the service keeps to itself) is protected like any other key (Section 3.3). A certificate that is compromised is revoked (marked as no longer trusted) and replaced (Section 3.5).</w:t>
      </w:r>
    </w:p>
    <w:p>
      <w:pPr>
        <w:pStyle w:val="Heading2"/>
      </w:pPr>
      <w:r>
        <w:t xml:space="preserve">3.7 Destroying Keys and Secure Disposal</w:t>
      </w:r>
    </w:p>
    <w:p>
      <w:pPr>
        <w:pStyle w:val="ListBullet"/>
      </w:pPr>
      <w:r>
        <w:rPr/>
        <w:t>A key, or any version of a key, is destroyed only when no information it protects is still needed. A legal hold is a duty under the Data Handling Policy to preserve information for a legal matter. A key is never destroyed while a legal hold covers information it protects, whatever prompts the destruction (disposal, rotation, or compromise), because destroying the key would destroy that information. While a hold stands, routine rotation, cryptoperiod expiry, and key-backup expiry do not delete or destroy that key or any backup of it, even where they run automatically. Where held information survives only in an encrypted backup, the key needed to read that backup is preserved for as long as that backup is kept.</w:t>
      </w:r>
    </w:p>
    <w:p>
      <w:pPr>
        <w:pStyle w:val="ListBullet"/>
      </w:pPr>
      <w:r>
        <w:rPr/>
        <w:t>For each key kept in approved secret storage, the key and certificate inventory records the information it protects and where its versions and backups are held (Section 4.0). A wrapped data key is covered by the record of the key that unwraps it. The organization checks this record before any key is destroyed.</w:t>
      </w:r>
    </w:p>
    <w:p>
      <w:pPr>
        <w:pStyle w:val="ListBullet"/>
      </w:pPr>
      <w:r>
        <w:t>Where a key under a legal hold is also compromised, it is taken out of use at once (Section 3.5) but not destroyed. The information it protected is re-encrypted under a new key. Where that information survives only in a backup, it is first restored or exported, as the Data Handling Policy directs, and then re-encrypted. The compromised key and its backups are preserved unused until the hold lifts. Until then, those preserved copies stay treated as exposed under Section 3.5, with access restricted.</w:t>
      </w:r>
    </w:p>
    <w:p>
      <w:pPr>
        <w:pStyle w:val="ListBullet"/>
      </w:pPr>
      <w:r>
        <w:rPr/>
        <w:t xml:space="preserve">Where the organization disposes of information by destroying its keys, the information's owner (Section 4.0) first confirms no copy of it is still needed, and that the keys protect nothing else still in use. A key that also protects live information is not destroyed; the expired information is instead disposed of under the Data Handling Policy's deletion rules. The destruction covers the current key, every earlier version that still protects a copy, and every backup and escrowed copy of those keys.</w:t>
      </w:r>
    </w:p>
    <w:p>
      <w:pPr>
        <w:pStyle w:val="ListBullet"/>
      </w:pPr>
      <w:r>
        <w:t xml:space="preserve">Destroying every key that can decrypt the information is a recognized way to dispose of it, so it can no longer practicably be read or reconstructed. This is the disposal method the Data Handling Policy calls destroying the encryption key; it works only where the information was encrypted from first use (Section 3.1). It is not used where the key is derived from a passphrase (Section 3.3), because the key can be re-derived, or where the information's confidentiality must hold for decades; in those cases the media is sanitized or destroyed under the Data Handling Policy.</w:t>
      </w:r>
    </w:p>
    <w:p>
      <w:pPr>
        <w:pStyle w:val="ListBullet"/>
      </w:pPr>
      <w:r>
        <w:t xml:space="preserve">Security operations records each key destruction, noting the key, the date, who destroyed it, the owner's confirmation, and that no legal hold applied. Where destroying the key is the disposal method, the record also confirms the information was encrypted from first use.</w:t>
      </w:r>
    </w:p>
    <w:p>
      <w:pPr>
        <w:pStyle w:val="Heading1"/>
      </w:pPr>
      <w:r>
        <w:t xml:space="preserve">4.0 Roles and Responsibilities</w:t>
      </w:r>
    </w:p>
    <w:p>
      <w:pPr>
        <w:pStyle w:val="ListBullet"/>
      </w:pPr>
      <w:r>
        <w:rPr>
          <w:b/>
        </w:rPr>
        <w:t xml:space="preserve">The Information Security Lead</w:t>
      </w:r>
      <w:r>
        <w:t xml:space="preserve"> owns this policy, sets the approved methods and key sizes (Section 3.2), sets how long each kind of key lives, and keeps the standard current as methods retire. The Lead answers questions about what this policy requires.</w:t>
      </w:r>
    </w:p>
    <w:p>
      <w:pPr>
        <w:pStyle w:val="ListBullet"/>
      </w:pPr>
      <w:r>
        <w:t xml:space="preserve">Security operations, with IT, generates, stores, rotates, backs up, and destroys keys, runs the approved secret storage, and tracks certificate renewals to prevent lapses. Here IT means an internal team or a qualified service provider. In a small organization the Information Security Lead performs the security operations role.</w:t>
      </w:r>
    </w:p>
    <w:p>
      <w:pPr>
        <w:pStyle w:val="ListBullet"/>
      </w:pPr>
      <w:r>
        <w:rPr>
          <w:b/>
        </w:rPr>
        <w:t>System and data owners</w:t>
      </w:r>
      <w:r>
        <w:rPr/>
        <w:t xml:space="preserve"> (the asset owners the Information Security Policy's inventory assigns) make sure their systems use approved methods, and enroll their keys and certificates in the key and certificate inventory. For each key, the enrollment records the information it protects and where its versions and backups are held.</w:t>
      </w:r>
    </w:p>
    <w:p>
      <w:pPr>
        <w:pStyle w:val="ListBullet"/>
      </w:pPr>
      <w:r>
        <w:rPr>
          <w:b/>
        </w:rPr>
        <w:t xml:space="preserve">Everyone</w:t>
      </w:r>
      <w:r>
        <w:t xml:space="preserve"> protects the keys and other secrets they are entrusted with, uses only approved methods, and reports a lost or exposed key at once (Section 7.0).</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rPr/>
        <w:t>Immediately report a lost, exposed, or possibly compromised key, certificate, or stored secret (any private value a system relies on, such as a password or an API key). Promptly report systems using weak or outdated encryption, and other security concerns. Use the incident reporting contacts kept in the Information Security Policy (its Appendix 1). A report to any manager counts; the manager passes it to those contacts.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Data Handling Policy: it classifies the information this policy encrypts, and disposes of it by destroying keys.</w:t>
      </w:r>
    </w:p>
    <w:p>
      <w:pPr>
        <w:pStyle w:val="ListBullet"/>
      </w:pPr>
      <w:r>
        <w:t xml:space="preserve">The Access Control Policy: it governs passwords, API keys, and the credentials people use to sign in.</w:t>
      </w:r>
    </w:p>
    <w:p>
      <w:pPr>
        <w:pStyle w:val="ListBullet"/>
      </w:pPr>
      <w:r>
        <w:t xml:space="preserve">The Remote Work &amp; Mobile Device Policy: it requires full-disk encryption on devices to the standard set here.</w:t>
      </w:r>
    </w:p>
    <w:p>
      <w:pPr>
        <w:pStyle w:val="ListBullet"/>
      </w:pPr>
      <w:r>
        <w:t xml:space="preserve">The Email Security Policy: it relies on this policy for mail transport encryption, and its DKIM signing keys live in the key and certificate inventory.</w:t>
      </w:r>
    </w:p>
    <w:p>
      <w:pPr>
        <w:pStyle w:val="ListBullet"/>
      </w:pPr>
      <w:r>
        <w:t xml:space="preserve">The Incident Response Policy: it handles a lost or exposed key as a security incident.</w:t>
      </w:r>
    </w:p>
    <w:p>
      <w:pPr>
        <w:pStyle w:val="ListBullet"/>
      </w:pPr>
      <w:r>
        <w:t xml:space="preserve">The Business Continuity &amp; Disaster Recovery Plan: it keeps a copy of the restore keys outside the environment they restore.</w:t>
      </w:r>
    </w:p>
    <w:p>
      <w:pPr>
        <w:pStyle w:val="ListBullet"/>
      </w:pPr>
      <w:r>
        <w:t xml:space="preserve">The Secure Development Policy: it builds software on the methods set here, and extends this policy's key scan of code and repositories to passwords and tokens.</w:t>
      </w:r>
    </w:p>
    <w:p>
      <w:pPr>
        <w:pStyle w:val="ListBullet"/>
      </w:pPr>
      <w:r>
        <w:t xml:space="preserve">The Vulnerability Management Policy: it fixes weak or outdated encryption as a vulnerability.</w:t>
      </w:r>
    </w:p>
    <w:p>
      <w:pPr>
        <w:pStyle w:val="ListBullet"/>
      </w:pPr>
      <w:r>
        <w:t xml:space="preserve">The Physical and Environmental Security Policy: it physically protects the portable devices and media this policy encrypts, and treats a drive encrypted from first use as sanitized once its keys are destroyed.</w:t>
      </w:r>
    </w:p>
    <w:p>
      <w:r>
        <w:t xml:space="preserve">Where any of these does not exist yet, treat it as a roadmap item; the rules in this policy apply on their own regardless.</w:t>
      </w:r>
    </w:p>
    <w:p>
      <w:r>
        <w:t xml:space="preserve">At a policy level, these rules put into practice control 8.24 of ISO/IEC 27001:2022 Annex A (use of cryptography): the rules for the effective use of cryptography, including key management, are defined here. They support the Protect function of the NIST Cybersecurity Framework 2.0, in particular its Data Security (PR.DS) category, which covers protecting information in transit and at rest. For key management practice, this policy follows NIST Special Publication 800-57 (Recommendation for Key Management, Parts 1 and 2); for approved algorithms and validated implementations, it follows NIST SP 800-131A and FIPS 140-3.</w:t>
      </w:r>
    </w:p>
    <w:p>
      <w:pPr>
        <w:pStyle w:val="Heading1"/>
      </w:pPr>
      <w:r>
        <w:t xml:space="preserve">Appendix 1: Cryptographic Standard</w:t>
      </w:r>
    </w:p>
    <w:p>
      <w:r>
        <w:t>Set the bracketed methods to current standards when adopting this policy (Section 3.2), and review them at least annually as part of the policy review (Section 5.0). This table is the quick reference; the rules in Sections 3.1 to 3.7 govern. Two values here are also set in the body: keep the data-in-transit method matched with Section 3.1 and the password storage method with Section 3.2.</w:t>
      </w:r>
    </w:p>
    <w:tbl>
      <w:tblPr>
        <w:tblStyle w:val="TableGrid"/>
        <w:tblW w:type="auto" w:w="0"/>
        <w:tblLook w:firstColumn="1" w:firstRow="1" w:lastColumn="0" w:lastRow="0" w:noHBand="0" w:noVBand="1" w:val="04A0"/>
      </w:tblPr>
      <w:tblGrid>
        <w:gridCol w:w="2600"/>
        <w:gridCol w:w="3600"/>
        <w:gridCol w:w="4600"/>
      </w:tblGrid>
      <w:tr>
        <w:trPr>
          <w:cantSplit/>
          <w:tblHeader/>
        </w:trPr>
        <w:tc>
          <w:tcPr>
            <w:tcW w:type="dxa" w:w="2600"/>
          </w:tcPr>
          <w:p>
            <w:r>
              <w:rPr>
                <w:b/>
              </w:rPr>
              <w:t xml:space="preserve">What</w:t>
            </w:r>
          </w:p>
        </w:tc>
        <w:tc>
          <w:tcPr>
            <w:tcW w:type="dxa" w:w="3600"/>
          </w:tcPr>
          <w:p>
            <w:r>
              <w:rPr>
                <w:b/>
              </w:rPr>
              <w:t xml:space="preserve">Where it applies</w:t>
            </w:r>
          </w:p>
        </w:tc>
        <w:tc>
          <w:tcPr>
            <w:tcW w:type="dxa" w:w="4600"/>
          </w:tcPr>
          <w:p>
            <w:r>
              <w:rPr>
                <w:b/>
              </w:rPr>
              <w:t xml:space="preserve">Method (set to a current standard)</w:t>
            </w:r>
          </w:p>
        </w:tc>
      </w:tr>
      <w:tr>
        <w:trPr>
          <w:cantSplit/>
        </w:trPr>
        <w:tc>
          <w:tcPr>
            <w:tcW w:type="dxa" w:w="2600"/>
          </w:tcPr>
          <w:p>
            <w:r>
              <w:t xml:space="preserve">Data at rest</w:t>
            </w:r>
          </w:p>
        </w:tc>
        <w:tc>
          <w:tcPr>
            <w:tcW w:type="dxa" w:w="3600"/>
          </w:tcPr>
          <w:p>
            <w:r>
              <w:t xml:space="preserve">Servers, databases, devices, removable media, backups</w:t>
            </w:r>
          </w:p>
        </w:tc>
        <w:tc>
          <w:tcPr>
            <w:tcW w:type="dxa" w:w="4600"/>
          </w:tcPr>
          <w:p>
            <w:r>
              <w:rPr>
                <w:highlight w:val="yellow"/>
              </w:rPr>
              <w:t xml:space="preserve">[AES-256]</w:t>
            </w:r>
          </w:p>
        </w:tc>
      </w:tr>
      <w:tr>
        <w:trPr>
          <w:cantSplit/>
        </w:trPr>
        <w:tc>
          <w:tcPr>
            <w:tcW w:type="dxa" w:w="2600"/>
          </w:tcPr>
          <w:p>
            <w:r>
              <w:t xml:space="preserve">Data in transit</w:t>
            </w:r>
          </w:p>
        </w:tc>
        <w:tc>
          <w:tcPr>
            <w:tcW w:type="dxa" w:w="3600"/>
          </w:tcPr>
          <w:p>
            <w:r>
              <w:t xml:space="preserve">Networks, public-facing services, connections between services</w:t>
            </w:r>
          </w:p>
        </w:tc>
        <w:tc>
          <w:tcPr>
            <w:tcW w:type="dxa" w:w="4600"/>
          </w:tcPr>
          <w:p>
            <w:r>
              <w:rPr>
                <w:highlight w:val="yellow"/>
              </w:rPr>
              <w:t xml:space="preserve">[TLS 1.2 or higher; TLS 1.3 preferred]</w:t>
            </w:r>
          </w:p>
        </w:tc>
      </w:tr>
      <w:tr>
        <w:trPr>
          <w:cantSplit/>
        </w:trPr>
        <w:tc>
          <w:tcPr>
            <w:tcW w:type="dxa" w:w="2600"/>
          </w:tcPr>
          <w:p>
            <w:r>
              <w:t xml:space="preserve">Password storage</w:t>
            </w:r>
          </w:p>
        </w:tc>
        <w:tc>
          <w:tcPr>
            <w:tcW w:type="dxa" w:w="3600"/>
          </w:tcPr>
          <w:p>
            <w:r>
              <w:t xml:space="preserve">Systems the organization builds or configures (Access Control Policy)</w:t>
            </w:r>
          </w:p>
        </w:tc>
        <w:tc>
          <w:tcPr>
            <w:tcW w:type="dxa" w:w="4600"/>
          </w:tcPr>
          <w:p>
            <w:r>
              <w:rPr>
                <w:highlight w:val="yellow"/>
              </w:rPr>
              <w:t xml:space="preserve">[bcrypt, scrypt, Argon2, or PBKDF2]</w:t>
            </w:r>
          </w:p>
        </w:tc>
      </w:tr>
      <w:tr>
        <w:trPr>
          <w:cantSplit/>
        </w:trPr>
        <w:tc>
          <w:tcPr>
            <w:tcW w:type="dxa" w:w="2600"/>
          </w:tcPr>
          <w:p>
            <w:r>
              <w:t xml:space="preserve">Signatures and integrity</w:t>
            </w:r>
          </w:p>
        </w:tc>
        <w:tc>
          <w:tcPr>
            <w:tcW w:type="dxa" w:w="3600"/>
          </w:tcPr>
          <w:p>
            <w:r>
              <w:t xml:space="preserve">Digital signatures, code signing, certificates</w:t>
            </w:r>
          </w:p>
        </w:tc>
        <w:tc>
          <w:tcPr>
            <w:tcW w:type="dxa" w:w="4600"/>
          </w:tcPr>
          <w:p>
            <w:r>
              <w:rPr>
                <w:highlight w:val="yellow"/>
              </w:rPr>
              <w:t xml:space="preserve">[RSA 2048-bit or ECDSA P-256 or stronger; SHA-256 or higher. For signatures that must stay valid for many years, prefer RSA 3072-bit; ECDSA P-256 already provides that strength.]</w:t>
            </w:r>
          </w:p>
        </w:tc>
      </w:tr>
      <w:tr>
        <w:trPr>
          <w:cantSplit/>
        </w:trPr>
        <w:tc>
          <w:tcPr>
            <w:tcW w:type="dxa" w:w="2600"/>
          </w:tcPr>
          <w:p>
            <w:r>
              <w:t xml:space="preserve">Key storage</w:t>
            </w:r>
          </w:p>
        </w:tc>
        <w:tc>
          <w:tcPr>
            <w:tcW w:type="dxa" w:w="3600"/>
          </w:tcPr>
          <w:p>
            <w:r>
              <w:t xml:space="preserve">All keys that protect the organization's information</w:t>
            </w:r>
          </w:p>
        </w:tc>
        <w:tc>
          <w:tcPr>
            <w:tcW w:type="dxa" w:w="4600"/>
          </w:tcPr>
          <w:p>
            <w:r>
              <w:rPr>
                <w:highlight w:val="yellow"/>
              </w:rPr>
              <w:t xml:space="preserve">[A key management service, hardware security module, or platform key vault]</w:t>
            </w:r>
          </w:p>
        </w:tc>
      </w:tr>
      <w:tr>
        <w:trPr>
          <w:cantSplit/>
        </w:trPr>
        <w:tc>
          <w:tcPr>
            <w:tcW w:type="dxa" w:w="2600"/>
          </w:tcPr>
          <w:p>
            <w:r>
              <w:t>Retired: do not use</w:t>
            </w:r>
          </w:p>
        </w:tc>
        <w:tc>
          <w:tcPr>
            <w:tcW w:type="dxa" w:w="3600"/>
          </w:tcPr>
          <w:p>
            <w:r>
              <w:t xml:space="preserve">Anywhere</w:t>
            </w:r>
          </w:p>
        </w:tc>
        <w:tc>
          <w:tcPr>
            <w:tcW w:type="dxa" w:w="4600"/>
          </w:tcPr>
          <w:p>
            <w:r>
              <w:t xml:space="preserve">DES, 3DES, RC4, MD5, SHA-1, SSL, TLS 1.0 and 1.1, and any other broken or retired method</w:t>
            </w: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Encryption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4024</Words>
  <Characters>21535</Characters>
  <DocSecurity>0</DocSecurity>
  <Lines>179</Lines>
  <Paragraphs>142</Paragraphs>
  <ScaleCrop>false</ScaleCrop>
  <HeadingPairs>
    <vt:vector size="2" baseType="variant">
      <vt:variant>
        <vt:lpstr>Title</vt:lpstr>
      </vt:variant>
      <vt:variant>
        <vt:i4>1</vt:i4>
      </vt:variant>
    </vt:vector>
  </HeadingPairs>
  <TitlesOfParts>
    <vt:vector size="1" baseType="lpstr">
      <vt:lpstr>Encryption Policy</vt:lpstr>
    </vt:vector>
  </TitlesOfParts>
  <Manager/>
  <Company>anoBytes Technology Solutions LLC</Company>
  <LinksUpToDate>false</LinksUpToDate>
  <CharactersWithSpaces>25448</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Encryption Policy</dc:title>
  <dc:subject>Encryption policy template</dc:subject>
  <dc:creator>Nelson Pereira, anoBytes Technology Solutions LLC</dc:creator>
  <cp:keywords>aes, tls, kms, hsm, fips 140-3, sha-256, sha-1, md5, rc4, 3des, rsa, ecdsa, pbkdf2, bcrypt, scrypt, argon2, acme, post-quantum, cryptoperiod, certificates, certificate inventory, key management service, hardware security module, key vault, recovery keys, password hashing, full-disk encryption</cp:keywords>
  <dc:description>The encryption and key management companion to our security policy set: what to encrypt in transit and at rest, approved methods, the key lifecycle, and secure disposal by destroying keys. Free to adapt for your organization.</dc:description>
  <cp:lastModifiedBy/>
  <cp:revision>1</cp:revision>
  <dcterms:created xsi:type="dcterms:W3CDTF">2026-07-18T00:00:00Z</dcterms:created>
  <dcterms:modified xsi:type="dcterms:W3CDTF">2026-08-06T00:00:00Z</dcterms:modified>
  <cp:category>Template</cp:category>
</cp:coreProperties>
</file>