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Incident Response Plan Worksheet</w:t>
      </w:r>
    </w:p>
    <w:p>
      <w:r>
        <w:t xml:space="preserve">The Incident Response Policy prepares the organization to handle security incidents, and for a small organization that policy with its appendix completed is the response plan. This worksheet fills that in: the names, numbers, and choices the policy leaves open, on a few printable pages.</w:t>
      </w:r>
    </w:p>
    <w:p>
      <w:r>
        <w:t xml:space="preserve">Fill in every </w:t>
      </w:r>
      <w:r>
        <w:rPr>
          <w:highlight w:val="yellow"/>
        </w:rPr>
        <w:t xml:space="preserve">[bracketed]</w:t>
      </w:r>
      <w:r>
        <w:t xml:space="preserve"> value. Keep a current copy where an incident cannot take it down: printed, with the offline copies the Business Continuity &amp; Disaster Recovery Plan keeps. Bring it to the annual exercise, and review it whenever the policy is reviewed. Where this sheet and the policy disagree, the policy wins.</w:t>
      </w:r>
    </w:p>
    <w:p>
      <w:pPr>
        <w:pStyle w:val="Heading1"/>
      </w:pPr>
      <w:r>
        <w:t xml:space="preserve">1.0 Who Responds</w:t>
      </w:r>
    </w:p>
    <w:p>
      <w:r>
        <w:t xml:space="preserve">The roles the Incident Response Policy assigns (its Section 4.0), held by named people reachable after hours.</w:t>
      </w:r>
    </w:p>
    <w:tbl>
      <w:tblPr>
        <w:tblStyle w:val="TableGrid"/>
        <w:tblW w:type="auto" w:w="0"/>
        <w:tblLook w:firstColumn="1" w:firstRow="1" w:lastColumn="0" w:lastRow="0" w:noHBand="0" w:noVBand="1" w:val="04A0"/>
      </w:tblPr>
      <w:tblGrid>
        <w:gridCol w:w="3200"/>
        <w:gridCol w:w="2400"/>
        <w:gridCol w:w="1700"/>
        <w:gridCol w:w="2100"/>
        <w:gridCol w:w="1400"/>
      </w:tblGrid>
      <w:tr>
        <w:tc>
          <w:tcPr>
            <w:tcW w:type="dxa" w:w="3200"/>
          </w:tcPr>
          <w:p>
            <w:r>
              <w:rPr>
                <w:b/>
              </w:rPr>
              <w:t xml:space="preserve">Role</w:t>
            </w:r>
          </w:p>
        </w:tc>
        <w:tc>
          <w:tcPr>
            <w:tcW w:type="dxa" w:w="2400"/>
          </w:tcPr>
          <w:p>
            <w:r>
              <w:rPr>
                <w:b/>
              </w:rPr>
              <w:t xml:space="preserve">Name</w:t>
            </w:r>
          </w:p>
        </w:tc>
        <w:tc>
          <w:tcPr>
            <w:tcW w:type="dxa" w:w="1700"/>
          </w:tcPr>
          <w:p>
            <w:r>
              <w:rPr>
                <w:b/>
              </w:rPr>
              <w:t xml:space="preserve">Phone</w:t>
            </w:r>
          </w:p>
        </w:tc>
        <w:tc>
          <w:tcPr>
            <w:tcW w:type="dxa" w:w="2100"/>
          </w:tcPr>
          <w:p>
            <w:r>
              <w:rPr>
                <w:b/>
              </w:rPr>
              <w:t xml:space="preserve">Email</w:t>
            </w:r>
          </w:p>
        </w:tc>
        <w:tc>
          <w:tcPr>
            <w:tcW w:type="dxa" w:w="1400"/>
          </w:tcPr>
          <w:p>
            <w:r>
              <w:rPr>
                <w:b/>
              </w:rPr>
              <w:t xml:space="preserve">After hours</w:t>
            </w:r>
          </w:p>
        </w:tc>
      </w:tr>
      <w:tr>
        <w:tc>
          <w:tcPr>
            <w:tcW w:type="dxa" w:w="3200"/>
          </w:tcPr>
          <w:p>
            <w:r>
              <w:t xml:space="preserve">Information Security Lead (leads the response)</w:t>
            </w:r>
          </w:p>
        </w:tc>
        <w:tc>
          <w:tcPr>
            <w:tcW w:type="dxa" w:w="2400"/>
          </w:tcPr>
          <w:p/>
        </w:tc>
        <w:tc>
          <w:tcPr>
            <w:tcW w:type="dxa" w:w="1700"/>
          </w:tcPr>
          <w:p/>
        </w:tc>
        <w:tc>
          <w:tcPr>
            <w:tcW w:type="dxa" w:w="2100"/>
          </w:tcPr>
          <w:p/>
        </w:tc>
        <w:tc>
          <w:tcPr>
            <w:tcW w:type="dxa" w:w="1400"/>
          </w:tcPr>
          <w:p/>
        </w:tc>
      </w:tr>
      <w:tr>
        <w:tc>
          <w:tcPr>
            <w:tcW w:type="dxa" w:w="3200"/>
          </w:tcPr>
          <w:p>
            <w:r>
              <w:t xml:space="preserve">Alternate (the deputy named under the Information Security Policy)</w:t>
            </w:r>
          </w:p>
        </w:tc>
        <w:tc>
          <w:tcPr>
            <w:tcW w:type="dxa" w:w="2400"/>
          </w:tcPr>
          <w:p/>
        </w:tc>
        <w:tc>
          <w:tcPr>
            <w:tcW w:type="dxa" w:w="1700"/>
          </w:tcPr>
          <w:p/>
        </w:tc>
        <w:tc>
          <w:tcPr>
            <w:tcW w:type="dxa" w:w="2100"/>
          </w:tcPr>
          <w:p/>
        </w:tc>
        <w:tc>
          <w:tcPr>
            <w:tcW w:type="dxa" w:w="1400"/>
          </w:tcPr>
          <w:p/>
        </w:tc>
      </w:tr>
      <w:tr>
        <w:tc>
          <w:tcPr>
            <w:tcW w:type="dxa" w:w="3200"/>
          </w:tcPr>
          <w:p>
            <w:r>
              <w:t xml:space="preserve">Security operations (the internal team or provider that investigates)</w:t>
            </w:r>
          </w:p>
        </w:tc>
        <w:tc>
          <w:tcPr>
            <w:tcW w:type="dxa" w:w="2400"/>
          </w:tcPr>
          <w:p/>
        </w:tc>
        <w:tc>
          <w:tcPr>
            <w:tcW w:type="dxa" w:w="1700"/>
          </w:tcPr>
          <w:p/>
        </w:tc>
        <w:tc>
          <w:tcPr>
            <w:tcW w:type="dxa" w:w="2100"/>
          </w:tcPr>
          <w:p/>
        </w:tc>
        <w:tc>
          <w:tcPr>
            <w:tcW w:type="dxa" w:w="1400"/>
          </w:tcPr>
          <w:p/>
        </w:tc>
      </w:tr>
      <w:tr>
        <w:tc>
          <w:tcPr>
            <w:tcW w:type="dxa" w:w="3200"/>
          </w:tcPr>
          <w:p>
            <w:r>
              <w:t xml:space="preserve">Executive Management contact</w:t>
            </w:r>
          </w:p>
        </w:tc>
        <w:tc>
          <w:tcPr>
            <w:tcW w:type="dxa" w:w="2400"/>
          </w:tcPr>
          <w:p/>
        </w:tc>
        <w:tc>
          <w:tcPr>
            <w:tcW w:type="dxa" w:w="1700"/>
          </w:tcPr>
          <w:p/>
        </w:tc>
        <w:tc>
          <w:tcPr>
            <w:tcW w:type="dxa" w:w="2100"/>
          </w:tcPr>
          <w:p/>
        </w:tc>
        <w:tc>
          <w:tcPr>
            <w:tcW w:type="dxa" w:w="1400"/>
          </w:tcPr>
          <w:p/>
        </w:tc>
      </w:tr>
      <w:tr>
        <w:tc>
          <w:tcPr>
            <w:tcW w:type="dxa" w:w="3200"/>
          </w:tcPr>
          <w:p>
            <w:r>
              <w:t xml:space="preserve">Executive-approved representative (the only voice to outside parties, policy Section 3.9)</w:t>
            </w:r>
          </w:p>
        </w:tc>
        <w:tc>
          <w:tcPr>
            <w:tcW w:type="dxa" w:w="2400"/>
          </w:tcPr>
          <w:p/>
        </w:tc>
        <w:tc>
          <w:tcPr>
            <w:tcW w:type="dxa" w:w="1700"/>
          </w:tcPr>
          <w:p/>
        </w:tc>
        <w:tc>
          <w:tcPr>
            <w:tcW w:type="dxa" w:w="2100"/>
          </w:tcPr>
          <w:p/>
        </w:tc>
        <w:tc>
          <w:tcPr>
            <w:tcW w:type="dxa" w:w="1400"/>
          </w:tcPr>
          <w:p/>
        </w:tc>
      </w:tr>
    </w:tbl>
    <w:p/>
    <w:p>
      <w:pPr>
        <w:pStyle w:val="Heading1"/>
      </w:pPr>
      <w:r>
        <w:t xml:space="preserve">2.0 Outside Help</w:t>
      </w:r>
    </w:p>
    <w:p>
      <w:r>
        <w:t xml:space="preserve">Arranged in advance, as the policy requires (its Section 3.2). Where the organization has cyber insurance, confirm the firm handling an incident is on the insurer's approved panel, so the work is covered.</w:t>
      </w:r>
    </w:p>
    <w:tbl>
      <w:tblPr>
        <w:tblStyle w:val="TableGrid"/>
        <w:tblW w:type="auto" w:w="0"/>
        <w:tblLook w:firstColumn="1" w:firstRow="1" w:lastColumn="0" w:lastRow="0" w:noHBand="0" w:noVBand="1" w:val="04A0"/>
      </w:tblPr>
      <w:tblGrid>
        <w:gridCol w:w="3600"/>
        <w:gridCol w:w="3100"/>
        <w:gridCol w:w="1700"/>
        <w:gridCol w:w="2400"/>
      </w:tblGrid>
      <w:tr>
        <w:tc>
          <w:tcPr>
            <w:tcW w:type="dxa" w:w="3600"/>
          </w:tcPr>
          <w:p>
            <w:r>
              <w:rPr>
                <w:b/>
              </w:rPr>
              <w:t xml:space="preserve">Who</w:t>
            </w:r>
          </w:p>
        </w:tc>
        <w:tc>
          <w:tcPr>
            <w:tcW w:type="dxa" w:w="3100"/>
          </w:tcPr>
          <w:p>
            <w:r>
              <w:rPr>
                <w:b/>
              </w:rPr>
              <w:t xml:space="preserve">Name or firm</w:t>
            </w:r>
          </w:p>
        </w:tc>
        <w:tc>
          <w:tcPr>
            <w:tcW w:type="dxa" w:w="1700"/>
          </w:tcPr>
          <w:p>
            <w:r>
              <w:rPr>
                <w:b/>
              </w:rPr>
              <w:t xml:space="preserve">Phone</w:t>
            </w:r>
          </w:p>
        </w:tc>
        <w:tc>
          <w:tcPr>
            <w:tcW w:type="dxa" w:w="2400"/>
          </w:tcPr>
          <w:p>
            <w:r>
              <w:rPr>
                <w:b/>
              </w:rPr>
              <w:t xml:space="preserve">Reference</w:t>
            </w:r>
          </w:p>
        </w:tc>
      </w:tr>
      <w:tr>
        <w:tc>
          <w:tcPr>
            <w:tcW w:type="dxa" w:w="3600"/>
          </w:tcPr>
          <w:p>
            <w:r>
              <w:t xml:space="preserve">Incident response and forensics firm (or the insurer's response panel)</w:t>
            </w:r>
          </w:p>
        </w:tc>
        <w:tc>
          <w:tcPr>
            <w:tcW w:type="dxa" w:w="3100"/>
          </w:tcPr>
          <w:p>
            <w:r>
              <w:rPr>
                <w:highlight w:val="yellow"/>
              </w:rPr>
              <w:t xml:space="preserve">[Firm or panel name]</w:t>
            </w:r>
          </w:p>
        </w:tc>
        <w:tc>
          <w:tcPr>
            <w:tcW w:type="dxa" w:w="1700"/>
          </w:tcPr>
          <w:p/>
        </w:tc>
        <w:tc>
          <w:tcPr>
            <w:tcW w:type="dxa" w:w="2400"/>
          </w:tcPr>
          <w:p>
            <w:r>
              <w:rPr>
                <w:highlight w:val="yellow"/>
              </w:rPr>
              <w:t xml:space="preserve">[Retainer or panel reference]</w:t>
            </w:r>
          </w:p>
        </w:tc>
      </w:tr>
      <w:tr>
        <w:tc>
          <w:tcPr>
            <w:tcW w:type="dxa" w:w="3600"/>
          </w:tcPr>
          <w:p>
            <w:r>
              <w:t xml:space="preserve">Cyber insurance 24-hour claims line</w:t>
            </w:r>
          </w:p>
        </w:tc>
        <w:tc>
          <w:tcPr>
            <w:tcW w:type="dxa" w:w="3100"/>
          </w:tcPr>
          <w:p>
            <w:r>
              <w:rPr>
                <w:highlight w:val="yellow"/>
              </w:rPr>
              <w:t xml:space="preserve">[Insurer]</w:t>
            </w:r>
          </w:p>
        </w:tc>
        <w:tc>
          <w:tcPr>
            <w:tcW w:type="dxa" w:w="1700"/>
          </w:tcPr>
          <w:p/>
        </w:tc>
        <w:tc>
          <w:tcPr>
            <w:tcW w:type="dxa" w:w="2400"/>
          </w:tcPr>
          <w:p>
            <w:r>
              <w:rPr>
                <w:highlight w:val="yellow"/>
              </w:rPr>
              <w:t xml:space="preserve">[Policy number]</w:t>
            </w:r>
          </w:p>
        </w:tc>
      </w:tr>
      <w:tr>
        <w:tc>
          <w:tcPr>
            <w:tcW w:type="dxa" w:w="3600"/>
          </w:tcPr>
          <w:p>
            <w:r>
              <w:t xml:space="preserve">Legal counsel for incidents</w:t>
            </w:r>
          </w:p>
        </w:tc>
        <w:tc>
          <w:tcPr>
            <w:tcW w:type="dxa" w:w="3100"/>
          </w:tcPr>
          <w:p>
            <w:r>
              <w:rPr>
                <w:highlight w:val="yellow"/>
              </w:rPr>
              <w:t xml:space="preserve">[Firm and named contact]</w:t>
            </w:r>
          </w:p>
        </w:tc>
        <w:tc>
          <w:tcPr>
            <w:tcW w:type="dxa" w:w="1700"/>
          </w:tcPr>
          <w:p/>
        </w:tc>
        <w:tc>
          <w:tcPr>
            <w:tcW w:type="dxa" w:w="2400"/>
          </w:tcPr>
          <w:p/>
        </w:tc>
      </w:tr>
      <w:tr>
        <w:tc>
          <w:tcPr>
            <w:tcW w:type="dxa" w:w="3600"/>
          </w:tcPr>
          <w:p>
            <w:r>
              <w:t xml:space="preserve">Bank or payment provider fraud line (called by whoever holds the banking relationship, policy Section 3.6)</w:t>
            </w:r>
          </w:p>
        </w:tc>
        <w:tc>
          <w:tcPr>
            <w:tcW w:type="dxa" w:w="3100"/>
          </w:tcPr>
          <w:p>
            <w:r>
              <w:rPr>
                <w:highlight w:val="yellow"/>
              </w:rPr>
              <w:t xml:space="preserve">[Bank and account contact]</w:t>
            </w:r>
          </w:p>
        </w:tc>
        <w:tc>
          <w:tcPr>
            <w:tcW w:type="dxa" w:w="1700"/>
          </w:tcPr>
          <w:p/>
        </w:tc>
        <w:tc>
          <w:tcPr>
            <w:tcW w:type="dxa" w:w="2400"/>
          </w:tcPr>
          <w:p/>
        </w:tc>
      </w:tr>
      <w:tr>
        <w:tc>
          <w:tcPr>
            <w:tcW w:type="dxa" w:w="3600"/>
          </w:tcPr>
          <w:p>
            <w:r>
              <w:t xml:space="preserve">Law enforcement</w:t>
            </w:r>
          </w:p>
        </w:tc>
        <w:tc>
          <w:tcPr>
            <w:tcW w:type="dxa" w:w="3100"/>
          </w:tcPr>
          <w:p>
            <w:r>
              <w:t xml:space="preserve">FBI Internet Crime Complaint Center (IC3), ic3.gov, or the local FBI field office</w:t>
            </w:r>
          </w:p>
        </w:tc>
        <w:tc>
          <w:tcPr>
            <w:tcW w:type="dxa" w:w="1700"/>
          </w:tcPr>
          <w:p/>
        </w:tc>
        <w:tc>
          <w:tcPr>
            <w:tcW w:type="dxa" w:w="2400"/>
          </w:tcPr>
          <w:p/>
        </w:tc>
      </w:tr>
      <w:tr>
        <w:tc>
          <w:tcPr>
            <w:tcW w:type="dxa" w:w="3600"/>
          </w:tcPr>
          <w:p>
            <w:r>
              <w:rPr>
                <w:highlight w:val="yellow"/>
              </w:rPr>
              <w:t xml:space="preserve">[Key vendor security contacts]</w:t>
            </w:r>
          </w:p>
        </w:tc>
        <w:tc>
          <w:tcPr>
            <w:tcW w:type="dxa" w:w="3100"/>
          </w:tcPr>
          <w:p/>
        </w:tc>
        <w:tc>
          <w:tcPr>
            <w:tcW w:type="dxa" w:w="1700"/>
          </w:tcPr>
          <w:p/>
        </w:tc>
        <w:tc>
          <w:tcPr>
            <w:tcW w:type="dxa" w:w="2400"/>
          </w:tcPr>
          <w:p/>
        </w:tc>
      </w:tr>
    </w:tbl>
    <w:p/>
    <w:p>
      <w:pPr>
        <w:pStyle w:val="Heading1"/>
      </w:pPr>
      <w:r>
        <w:t xml:space="preserve">3.0 The First Hour</w:t>
      </w:r>
    </w:p>
    <w:p>
      <w:r>
        <w:t xml:space="preserve">For whoever finds a possible incident: report first, through the contacts in the Information Security Policy's Appendix 1, then preserve what you can. These lines restate the policy; it governs the details.</w:t>
      </w:r>
    </w:p>
    <w:p>
      <w:pPr>
        <w:pStyle w:val="ListBullet"/>
      </w:pPr>
      <w:r>
        <w:t xml:space="preserve">Report at once. Anything that looks serious cannot wait for the next working day; when unsure, treat it as serious.</w:t>
      </w:r>
    </w:p>
    <w:p>
      <w:pPr>
        <w:pStyle w:val="ListBullet"/>
      </w:pPr>
      <w:r>
        <w:t xml:space="preserve">Do not switch off an affected device. Lock it or disconnect it from the network instead.</w:t>
      </w:r>
    </w:p>
    <w:p>
      <w:pPr>
        <w:pStyle w:val="ListBullet"/>
      </w:pPr>
      <w:r>
        <w:t xml:space="preserve">Do not delete anything, do not reply to or forward a suspicious message, and do not pay or promise payment.</w:t>
      </w:r>
    </w:p>
    <w:p>
      <w:pPr>
        <w:pStyle w:val="ListBullet"/>
      </w:pPr>
      <w:r>
        <w:t xml:space="preserve">Write down what you saw and when. Leave the message, file, or screen as it is; it is evidence (policy Section 3.8).</w:t>
      </w:r>
    </w:p>
    <w:p>
      <w:pPr>
        <w:pStyle w:val="ListBullet"/>
      </w:pPr>
      <w:r>
        <w:t xml:space="preserve">The Information Security Lead, or the alternate, declares the incident, sets the severity (Section 4.0 below), and starts the log (Section 5.0 below).</w:t>
      </w:r>
    </w:p>
    <w:p>
      <w:pPr>
        <w:pStyle w:val="ListBullet"/>
      </w:pPr>
      <w:r>
        <w:t xml:space="preserve">Security operations contains obvious, active harm at once, before any declaration. A fraudulent payment or business email compromise (BEC) goes straight down the policy's Section 3.6 path: the bank call first.</w:t>
      </w:r>
    </w:p>
    <w:p>
      <w:pPr>
        <w:pStyle w:val="Heading1"/>
      </w:pPr>
      <w:r>
        <w:t xml:space="preserve">4.0 Severity and Response Targets</w:t>
      </w:r>
    </w:p>
    <w:p>
      <w:r>
        <w:t xml:space="preserve">The levels come from the policy's Appendix 1; copy the targets set there so this sheet stands alone, and keep the two matched.</w:t>
      </w:r>
    </w:p>
    <w:tbl>
      <w:tblPr>
        <w:tblStyle w:val="TableGrid"/>
        <w:tblW w:type="auto" w:w="0"/>
        <w:tblLook w:firstColumn="1" w:firstRow="1" w:lastColumn="0" w:lastRow="0" w:noHBand="0" w:noVBand="1" w:val="04A0"/>
      </w:tblPr>
      <w:tblGrid>
        <w:gridCol w:w="3600"/>
        <w:gridCol w:w="7200"/>
      </w:tblGrid>
      <w:tr>
        <w:tc>
          <w:tcPr>
            <w:tcW w:type="dxa" w:w="3600"/>
          </w:tcPr>
          <w:p>
            <w:r>
              <w:rPr>
                <w:b/>
              </w:rPr>
              <w:t xml:space="preserve">Level</w:t>
            </w:r>
          </w:p>
        </w:tc>
        <w:tc>
          <w:tcPr>
            <w:tcW w:type="dxa" w:w="7200"/>
          </w:tcPr>
          <w:p>
            <w:r>
              <w:rPr>
                <w:b/>
              </w:rPr>
              <w:t xml:space="preserve">Initial response target (as set in the policy)</w:t>
            </w:r>
          </w:p>
        </w:tc>
      </w:tr>
      <w:tr>
        <w:tc>
          <w:tcPr>
            <w:tcW w:type="dxa" w:w="3600"/>
          </w:tcPr>
          <w:p>
            <w:r>
              <w:t xml:space="preserve">Low</w:t>
            </w:r>
          </w:p>
        </w:tc>
        <w:tc>
          <w:tcPr>
            <w:tcW w:type="dxa" w:w="7200"/>
          </w:tcPr>
          <w:p>
            <w:r>
              <w:rPr>
                <w:highlight w:val="yellow"/>
              </w:rPr>
              <w:t xml:space="preserve">[Next business day]</w:t>
            </w:r>
          </w:p>
        </w:tc>
      </w:tr>
      <w:tr>
        <w:tc>
          <w:tcPr>
            <w:tcW w:type="dxa" w:w="3600"/>
          </w:tcPr>
          <w:p>
            <w:r>
              <w:t xml:space="preserve">Medium</w:t>
            </w:r>
          </w:p>
        </w:tc>
        <w:tc>
          <w:tcPr>
            <w:tcW w:type="dxa" w:w="7200"/>
          </w:tcPr>
          <w:p>
            <w:r>
              <w:rPr>
                <w:highlight w:val="yellow"/>
              </w:rPr>
              <w:t xml:space="preserve">[Within 4 business hours]</w:t>
            </w:r>
          </w:p>
        </w:tc>
      </w:tr>
      <w:tr>
        <w:tc>
          <w:tcPr>
            <w:tcW w:type="dxa" w:w="3600"/>
          </w:tcPr>
          <w:p>
            <w:r>
              <w:t xml:space="preserve">High</w:t>
            </w:r>
          </w:p>
        </w:tc>
        <w:tc>
          <w:tcPr>
            <w:tcW w:type="dxa" w:w="7200"/>
          </w:tcPr>
          <w:p>
            <w:r>
              <w:rPr>
                <w:highlight w:val="yellow"/>
              </w:rPr>
              <w:t xml:space="preserve">[Within 1 hour]</w:t>
            </w:r>
          </w:p>
        </w:tc>
      </w:tr>
      <w:tr>
        <w:tc>
          <w:tcPr>
            <w:tcW w:type="dxa" w:w="3600"/>
          </w:tcPr>
          <w:p>
            <w:r>
              <w:t xml:space="preserve">Critical</w:t>
            </w:r>
          </w:p>
        </w:tc>
        <w:tc>
          <w:tcPr>
            <w:tcW w:type="dxa" w:w="7200"/>
          </w:tcPr>
          <w:p>
            <w:r>
              <w:rPr>
                <w:highlight w:val="yellow"/>
              </w:rPr>
              <w:t xml:space="preserve">[Immediate]</w:t>
            </w:r>
          </w:p>
        </w:tc>
      </w:tr>
    </w:tbl>
    <w:p/>
    <w:p>
      <w:pPr>
        <w:pStyle w:val="Heading1"/>
      </w:pPr>
      <w:r>
        <w:t xml:space="preserve">5.0 Incident Log</w:t>
      </w:r>
    </w:p>
    <w:p>
      <w:r>
        <w:t xml:space="preserve">Start the log when an incident is declared; it becomes the record the policy requires (its Section 3.5 and Appendix 1): what happened, what was done, who did it, and when.</w:t>
      </w:r>
    </w:p>
    <w:tbl>
      <w:tblPr>
        <w:tblStyle w:val="TableGrid"/>
        <w:tblW w:type="auto" w:w="0"/>
        <w:tblLook w:firstColumn="1" w:firstRow="1" w:lastColumn="0" w:lastRow="0" w:noHBand="0" w:noVBand="1" w:val="04A0"/>
      </w:tblPr>
      <w:tblGrid>
        <w:gridCol w:w="2000"/>
        <w:gridCol w:w="4700"/>
        <w:gridCol w:w="1700"/>
        <w:gridCol w:w="2400"/>
      </w:tblGrid>
      <w:tr>
        <w:tc>
          <w:tcPr>
            <w:tcW w:type="dxa" w:w="2000"/>
          </w:tcPr>
          <w:p>
            <w:r>
              <w:rPr>
                <w:b/>
              </w:rPr>
              <w:t xml:space="preserve">When</w:t>
            </w:r>
          </w:p>
        </w:tc>
        <w:tc>
          <w:tcPr>
            <w:tcW w:type="dxa" w:w="4700"/>
          </w:tcPr>
          <w:p>
            <w:r>
              <w:rPr>
                <w:b/>
              </w:rPr>
              <w:t xml:space="preserve">What happened or was done</w:t>
            </w:r>
          </w:p>
        </w:tc>
        <w:tc>
          <w:tcPr>
            <w:tcW w:type="dxa" w:w="1700"/>
          </w:tcPr>
          <w:p>
            <w:r>
              <w:rPr>
                <w:b/>
              </w:rPr>
              <w:t xml:space="preserve">Who</w:t>
            </w:r>
          </w:p>
        </w:tc>
        <w:tc>
          <w:tcPr>
            <w:tcW w:type="dxa" w:w="2400"/>
          </w:tcPr>
          <w:p>
            <w:r>
              <w:rPr>
                <w:b/>
              </w:rPr>
              <w:t xml:space="preserve">Evidence kept</w:t>
            </w:r>
          </w:p>
        </w:tc>
      </w:tr>
      <w:tr>
        <w:tc>
          <w:tcPr>
            <w:tcW w:type="dxa" w:w="2000"/>
          </w:tcPr>
          <w:p>
            <w:r>
              <w:rPr>
                <w:highlight w:val="yellow"/>
              </w:rPr>
              <w:t xml:space="preserve">[Date and time]</w:t>
            </w:r>
          </w:p>
        </w:tc>
        <w:tc>
          <w:tcPr>
            <w:tcW w:type="dxa" w:w="4700"/>
          </w:tcPr>
          <w:p>
            <w:r>
              <w:rPr>
                <w:highlight w:val="yellow"/>
              </w:rPr>
              <w:t xml:space="preserve">[e.g., Locked the affected account; saved the suspicious message unopened]</w:t>
            </w:r>
          </w:p>
        </w:tc>
        <w:tc>
          <w:tcPr>
            <w:tcW w:type="dxa" w:w="1700"/>
          </w:tcPr>
          <w:p/>
        </w:tc>
        <w:tc>
          <w:tcPr>
            <w:tcW w:type="dxa" w:w="2400"/>
          </w:tcPr>
          <w:p>
            <w:r>
              <w:rPr>
                <w:highlight w:val="yellow"/>
              </w:rPr>
              <w:t xml:space="preserve">[Where the copy or screenshot lives]</w:t>
            </w:r>
          </w:p>
        </w:tc>
      </w:tr>
      <w:tr>
        <w:tc>
          <w:tcPr>
            <w:tcW w:type="dxa" w:w="2000"/>
          </w:tcPr>
          <w:p/>
        </w:tc>
        <w:tc>
          <w:tcPr>
            <w:tcW w:type="dxa" w:w="4700"/>
          </w:tcPr>
          <w:p/>
        </w:tc>
        <w:tc>
          <w:tcPr>
            <w:tcW w:type="dxa" w:w="1700"/>
          </w:tcPr>
          <w:p/>
        </w:tc>
        <w:tc>
          <w:tcPr>
            <w:tcW w:type="dxa" w:w="2400"/>
          </w:tcPr>
          <w:p/>
        </w:tc>
      </w:tr>
      <w:tr>
        <w:tc>
          <w:tcPr>
            <w:tcW w:type="dxa" w:w="2000"/>
          </w:tcPr>
          <w:p/>
        </w:tc>
        <w:tc>
          <w:tcPr>
            <w:tcW w:type="dxa" w:w="4700"/>
          </w:tcPr>
          <w:p/>
        </w:tc>
        <w:tc>
          <w:tcPr>
            <w:tcW w:type="dxa" w:w="1700"/>
          </w:tcPr>
          <w:p/>
        </w:tc>
        <w:tc>
          <w:tcPr>
            <w:tcW w:type="dxa" w:w="2400"/>
          </w:tcPr>
          <w:p/>
        </w:tc>
      </w:tr>
    </w:tbl>
    <w:p/>
    <w:p>
      <w:pPr>
        <w:pStyle w:val="Heading1"/>
      </w:pPr>
      <w:r>
        <w:t xml:space="preserve">6.0 Keep It Current</w:t>
      </w:r>
    </w:p>
    <w:tbl>
      <w:tblPr>
        <w:tblStyle w:val="TableGrid"/>
        <w:tblW w:type="auto" w:w="0"/>
        <w:tblLook w:firstColumn="1" w:firstRow="1" w:lastColumn="0" w:lastRow="0" w:noHBand="0" w:noVBand="1" w:val="04A0"/>
      </w:tblPr>
      <w:tblGrid>
        <w:gridCol w:w="3600"/>
        <w:gridCol w:w="7200"/>
      </w:tblGrid>
      <w:tr>
        <w:tc>
          <w:tcPr>
            <w:tcW w:type="dxa" w:w="3600"/>
          </w:tcPr>
          <w:p>
            <w:r>
              <w:t xml:space="preserve">Organization</w:t>
            </w:r>
          </w:p>
        </w:tc>
        <w:tc>
          <w:tcPr>
            <w:tcW w:type="dxa" w:w="7200"/>
          </w:tcPr>
          <w:p>
            <w:r>
              <w:rPr>
                <w:highlight w:val="yellow"/>
              </w:rPr>
              <w:t xml:space="preserve">[Company Name]</w:t>
            </w:r>
          </w:p>
        </w:tc>
      </w:tr>
      <w:tr>
        <w:tc>
          <w:tcPr>
            <w:tcW w:type="dxa" w:w="3600"/>
          </w:tcPr>
          <w:p>
            <w:r>
              <w:t xml:space="preserve">Completed by</w:t>
            </w:r>
          </w:p>
        </w:tc>
        <w:tc>
          <w:tcPr>
            <w:tcW w:type="dxa" w:w="7200"/>
          </w:tcPr>
          <w:p/>
        </w:tc>
      </w:tr>
      <w:tr>
        <w:tc>
          <w:tcPr>
            <w:tcW w:type="dxa" w:w="3600"/>
          </w:tcPr>
          <w:p>
            <w:r>
              <w:t xml:space="preserve">Date completed</w:t>
            </w:r>
          </w:p>
        </w:tc>
        <w:tc>
          <w:tcPr>
            <w:tcW w:type="dxa" w:w="7200"/>
          </w:tcPr>
          <w:p>
            <w:r>
              <w:rPr>
                <w:highlight w:val="yellow"/>
              </w:rPr>
              <w:t xml:space="preserve">[Date]</w:t>
            </w:r>
          </w:p>
        </w:tc>
      </w:tr>
      <w:tr>
        <w:tc>
          <w:tcPr>
            <w:tcW w:type="dxa" w:w="3600"/>
          </w:tcPr>
          <w:p>
            <w:r>
              <w:t xml:space="preserve">Copies live at</w:t>
            </w:r>
          </w:p>
        </w:tc>
        <w:tc>
          <w:tcPr>
            <w:tcW w:type="dxa" w:w="7200"/>
          </w:tcPr>
          <w:p>
            <w:r>
              <w:rPr>
                <w:highlight w:val="yellow"/>
              </w:rPr>
              <w:t xml:space="preserve">[Printed and offline locations, kept with the BC/DR plan copies]</w:t>
            </w:r>
          </w:p>
        </w:tc>
      </w:tr>
      <w:tr>
        <w:tc>
          <w:tcPr>
            <w:tcW w:type="dxa" w:w="3600"/>
          </w:tcPr>
          <w:p>
            <w:r>
              <w:t xml:space="preserve">Next review</w:t>
            </w:r>
          </w:p>
        </w:tc>
        <w:tc>
          <w:tcPr>
            <w:tcW w:type="dxa" w:w="7200"/>
          </w:tcPr>
          <w:p>
            <w:r>
              <w:rPr>
                <w:highlight w:val="yellow"/>
              </w:rPr>
              <w:t xml:space="preserve">[Date, with the policy review, at least annually]</w:t>
            </w:r>
          </w:p>
        </w:tc>
      </w:tr>
    </w:tbl>
    <w:p/>
    <w:p>
      <w:r>
        <w:t xml:space="preserve">This worksheet is general guidance, not legal advice. It is provided by anoBytes Technology Solutions (anobytes.com) free to adapt for your organization.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Incident Response Plan Worksheet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20171</Characters>
  <DocSecurity>0</DocSecurity>
  <Lines>211</Lines>
  <Paragraphs>131</Paragraphs>
  <ScaleCrop>false</ScaleCrop>
  <HeadingPairs>
    <vt:vector size="2" baseType="variant">
      <vt:variant>
        <vt:lpstr>Title</vt:lpstr>
      </vt:variant>
      <vt:variant>
        <vt:i4>1</vt:i4>
      </vt:variant>
    </vt:vector>
  </HeadingPairs>
  <TitlesOfParts>
    <vt:vector size="1" baseType="lpstr">
      <vt:lpstr>Incident Response Plan Worksheet</vt:lpstr>
    </vt:vector>
  </TitlesOfParts>
  <Manager/>
  <Company>anoBytes Technology Solutions LLC</Company>
  <LinksUpToDate>false</LinksUpToDate>
  <CharactersWithSpaces>23778</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Incident Response Plan Worksheet</dc:title>
  <dc:subject>Incident response plan worksheet</dc:subject>
  <dc:creator>Nelson Pereira, anoBytes Technology Solutions LLC</dc:creator>
  <cp:keywords>ic3, fbi, bec, cyber insurance, bank, suspicious message</cp:keywords>
  <dc:description>The fill-in companion to our Incident Response Policy: who responds, the outside help arranged in advance, the first-hour steps, severity targets, and an incident log, on two printable pages kept with your offline copies. Free to adapt for your organization.</dc:description>
  <cp:lastModifiedBy/>
  <cp:revision>1</cp:revision>
  <dcterms:created xsi:type="dcterms:W3CDTF">2026-07-30T00:00:00Z</dcterms:created>
  <dcterms:modified xsi:type="dcterms:W3CDTF">2026-07-30T00:00:00Z</dcterms:modified>
  <cp:category>Template</cp:category>
</cp:coreProperties>
</file>