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Incident Response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Incident Response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how </w:t>
      </w:r>
      <w:r>
        <w:rPr>
          <w:highlight w:val="yellow"/>
        </w:rPr>
        <w:t xml:space="preserve">[Company Name]</w:t>
      </w:r>
      <w:r>
        <w:t xml:space="preserve"> ("the organization") prepares for, detects, responds to, and learns from security incidents, so that harm to its information, systems, customers, and operations is contained quickly and consistently.</w:t>
      </w:r>
    </w:p>
    <w:p>
      <w:r>
        <w:t xml:space="preserve">This policy is a supporting policy of the organization's Information Security Policy. It gives effect to the incident management requirements of ISO/IEC 27001:2022 Annex A and follows the current NIST incident-response guidance (see Section 9.0).</w:t>
      </w:r>
    </w:p>
    <w:p>
      <w:pPr>
        <w:pStyle w:val="Heading1"/>
      </w:pPr>
      <w:r>
        <w:t xml:space="preserve">2.0 Scope</w:t>
      </w:r>
    </w:p>
    <w:p>
      <w:r>
        <w:t>This policy applies to every security incident affecting the organization's information, systems, applications, networks, devices, or facilities, wherever they are and whoever operates them. That includes cloud services and third-party providers. It governs everyone who might notice or handle an incident: employees, contractors, vendors, and any other authorized users. The everyday duty to report a suspected incident is in Section 7.0; how the organization then handles it is in Section 3.0.</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Events, Incidents, and Breaches</w:t>
      </w:r>
    </w:p>
    <w:p>
      <w:pPr>
        <w:pStyle w:val="ListBullet"/>
      </w:pPr>
      <w:r>
        <w:t xml:space="preserve">A </w:t>
      </w:r>
      <w:r>
        <w:rPr>
          <w:b/>
        </w:rPr>
        <w:t>security event</w:t>
      </w:r>
      <w:r>
        <w:t xml:space="preserve"> is anything observed on a system or network that might matter for security (an alert, a failed login spike, an unexpected change). Most events turn out to be harmless; each is still assessed under Section 3.3.</w:t>
      </w:r>
    </w:p>
    <w:p>
      <w:pPr>
        <w:pStyle w:val="ListBullet"/>
      </w:pPr>
      <w:r>
        <w:t xml:space="preserve">A </w:t>
      </w:r>
      <w:r>
        <w:rPr>
          <w:b/>
        </w:rPr>
        <w:t>security incident</w:t>
      </w:r>
      <w:r>
        <w:t xml:space="preserve"> is an event, or a series of events, that harms or credibly threatens the confidentiality, integrity, or availability of the organization's information or systems: for example unauthorized access, malware or ransomware, loss or theft of a device, denial-of-service (an attack that overloads a system so it stops working), a fraudulent payment or business email compromise (defined in Section 3.6), or accidental disclosure of sensitive information.</w:t>
      </w:r>
    </w:p>
    <w:p>
      <w:pPr>
        <w:pStyle w:val="ListBullet"/>
      </w:pPr>
      <w:r>
        <w:t xml:space="preserve">A </w:t>
      </w:r>
      <w:r>
        <w:rPr>
          <w:b/>
        </w:rPr>
        <w:t>data breach</w:t>
      </w:r>
      <w:r>
        <w:t xml:space="preserve"> is an incident that leads to unauthorized access to, loss of, or disclosure of sensitive, personal, or other regulated information. A breach of personal data in particular can trigger specific legal notification duties. Every suspected breach is treated as a high-severity incident until assessed.</w:t>
      </w:r>
    </w:p>
    <w:p>
      <w:pPr>
        <w:pStyle w:val="Heading2"/>
      </w:pPr>
      <w:r>
        <w:t xml:space="preserve">3.2 Preparation and Readiness</w:t>
      </w:r>
    </w:p>
    <w:p>
      <w:pPr>
        <w:pStyle w:val="ListBullet"/>
      </w:pPr>
      <w:r>
        <w:t>The organization maintains a documented incident response plan that turns this policy into steps: how incidents are triaged, contained, investigated, communicated, and closed, with current contact details and escalation paths. Sections 3.3 to 3.5 and 3.9 describe these stages. For a small organization, this policy with its appendix completed is that plan. A current copy of the plan and its contact list is kept outside the organization's own systems (with the offline copies the Business Continuity &amp; Disaster Recovery Plan keeps), so an incident that takes those systems down does not take the plan with it.</w:t>
      </w:r>
    </w:p>
    <w:p>
      <w:pPr>
        <w:pStyle w:val="ListBullet"/>
      </w:pPr>
      <w:r>
        <w:t>The people who will respond are named and resourced before they are needed. In a small organization the Information Security Lead leads the response with security operations, which may be an internal team, a managed security provider, or an external incident response firm on retainer. Larger organizations may run a dedicated incident response team.</w:t>
      </w:r>
    </w:p>
    <w:p>
      <w:pPr>
        <w:pStyle w:val="ListBullet"/>
      </w:pPr>
      <w:r>
        <w:t>A named alternate leads the response when the Information Security Lead is unavailable or is connected to the incident (for example an insider case); this is the deputy named under the Information Security Policy. A Lead connected to an incident does not lead or direct its investigation. Where it is unclear whether the Lead is connected, Executive Management decides.</w:t>
      </w:r>
    </w:p>
    <w:p>
      <w:pPr>
        <w:pStyle w:val="ListBullet"/>
      </w:pPr>
      <w:r>
        <w:t>Specialist help is arranged in advance, because a small organization often cannot investigate or collect defensible evidence alone: the organization keeps a retainer or a standing arrangement with a qualified incident response and forensics firm, has identified the firm it would engage and agreed terms in advance, or relies on its cyber insurer's response panel as that arrangement. Where the organization has cyber insurance, confirm the firm handling the incident is on the insurer's approved panel (its list of approved vendors) so the firm's work is covered.</w:t>
      </w:r>
    </w:p>
    <w:p>
      <w:pPr>
        <w:pStyle w:val="ListBullet"/>
      </w:pPr>
      <w:r>
        <w:t xml:space="preserve">If the managed provider or retained firm is itself involved in an incident (breached or a possible source), the party that may be compromised does not investigate itself: the Information Security Lead escalates to Executive Management and brings in independent help.</w:t>
      </w:r>
    </w:p>
    <w:p>
      <w:pPr>
        <w:pStyle w:val="ListBullet"/>
      </w:pPr>
      <w:r>
        <w:t xml:space="preserve">The Information Security Lead makes sure the people who may handle incidents are trained for their part, and keeps a record of that training. The Lead also keeps the contacts (internal, and external such as legal counsel, the cyber insurer, the incident response firm, the bank or payment provider, and law enforcement) current and reachable outside business hours.</w:t>
      </w:r>
    </w:p>
    <w:p>
      <w:pPr>
        <w:pStyle w:val="ListBullet"/>
      </w:pPr>
      <w:r>
        <w:t>For cloud and SaaS services (software used over the internet), the organization makes sure the logs and evidence needed to investigate are actually available (the necessary logging is enabled). It also keeps the incident contacts of each provider that holds regulated data or runs a critical system. Contracts with such providers require the provider to notify the organization of incidents affecting the organization's data and to cooperate with the response (see the Vendor Risk Management Policy).</w:t>
      </w:r>
    </w:p>
    <w:p>
      <w:pPr>
        <w:pStyle w:val="ListBullet"/>
      </w:pPr>
      <w:r>
        <w:t xml:space="preserve">Detection and logging are in place so incidents can be found. Security events are logged and retained long enough to investigate: at least </w:t>
      </w:r>
      <w:r>
        <w:rPr>
          <w:highlight w:val="yellow"/>
        </w:rPr>
        <w:t>[twelve]</w:t>
      </w:r>
      <w:r>
        <w:t xml:space="preserve"> months, and per the organization's data handling rules. Clocks are synchronized so logs from different systems line up.</w:t>
      </w:r>
    </w:p>
    <w:p>
      <w:pPr>
        <w:pStyle w:val="Heading2"/>
      </w:pPr>
      <w:r>
        <w:t xml:space="preserve">3.3 Detection and Triage</w:t>
      </w:r>
    </w:p>
    <w:p>
      <w:pPr>
        <w:pStyle w:val="ListBullet"/>
      </w:pPr>
      <w:r>
        <w:t xml:space="preserve">Incidents surface from monitoring and alerts, from reports by people (Section 7.0), and from outside notifications (a vendor, a customer, a researcher, or law enforcement); all routes lead to the same response process.</w:t>
      </w:r>
    </w:p>
    <w:p>
      <w:pPr>
        <w:pStyle w:val="ListBullet"/>
      </w:pPr>
      <w:r>
        <w:t>Every reported event is logged, given a unique reference, and assessed promptly: is it a real incident, and if so how severe? This first assessment is triage: it assigns an initial severity (Appendix 1 of this policy), which the Information Security Lead confirms or adjusts. The assessment and the decision are recorded. For events from monitoring tools, the record in the monitoring or ticketing tool satisfies this.</w:t>
      </w:r>
    </w:p>
    <w:p>
      <w:pPr>
        <w:pStyle w:val="ListBullet"/>
      </w:pPr>
      <w:r>
        <w:t>The Information Security Lead (or the alternate) declares an incident and confirms who leads the response. Declaration formalizes the response, which proceeds without waiting for it. Security operations contains obvious, active harm at once (Section 3.5), before any declaration, and reports what it did to the Lead or the alternate at the first opportunity. The clock for the response targets starts at detection or report (Section 3.4).</w:t>
      </w:r>
    </w:p>
    <w:p>
      <w:pPr>
        <w:pStyle w:val="ListBullet"/>
      </w:pPr>
      <w:r>
        <w:t xml:space="preserve">Security operations defines the alert thresholds and detection rules and reviews them at least </w:t>
      </w:r>
      <w:r>
        <w:rPr>
          <w:highlight w:val="yellow"/>
        </w:rPr>
        <w:t>[quarterly]</w:t>
      </w:r>
      <w:r>
        <w:t xml:space="preserve"> and records each review, so real incidents stand out and are not buried in noise.</w:t>
      </w:r>
    </w:p>
    <w:p>
      <w:pPr>
        <w:pStyle w:val="Heading2"/>
      </w:pPr>
      <w:r>
        <w:t xml:space="preserve">3.4 Severity and Escalation</w:t>
      </w:r>
    </w:p>
    <w:p>
      <w:pPr>
        <w:pStyle w:val="ListBullet"/>
      </w:pPr>
      <w:r>
        <w:t>Severity is judged by overall impact: the sensitivity of the information involved, the number of people or records, the disruption to operations, direct financial loss or fraud, and any legal, regulatory, or contractual duty. Appendix 1 gives the levels and the initial response targets.</w:t>
      </w:r>
    </w:p>
    <w:p>
      <w:pPr>
        <w:pStyle w:val="ListBullet"/>
      </w:pPr>
      <w:r>
        <w:t>Incidents of high severity and above are "significant incidents" wherever this policy uses that term. A significant incident escalates to the Information Security Lead immediately, receives a post-incident review (Section 3.10), and is reported to Executive Management. For a critical incident, Executive Management is brought into the response itself, at once. Set the severity levels in Appendix 1 so that high and above matches the written definition of a significant incident Executive Management keeps under the Information Security Policy.</w:t>
      </w:r>
    </w:p>
    <w:p>
      <w:pPr>
        <w:pStyle w:val="ListBullet"/>
      </w:pPr>
      <w:r>
        <w:t>The response targets in Appendix 1 are measured from when the incident is first detected by a system or a person, or reported, whichever comes first. Meeting the target means a responder has taken charge, has begun triage, and has started containment where containment is needed.</w:t>
      </w:r>
    </w:p>
    <w:p>
      <w:pPr>
        <w:pStyle w:val="ListBullet"/>
      </w:pPr>
      <w:r>
        <w:t>Until triage assigns a severity, the report is worked under the target of the highest severity it could reasonably be. A suspected breach is high severity until assessed (Section 3.1).</w:t>
      </w:r>
    </w:p>
    <w:p>
      <w:pPr>
        <w:pStyle w:val="ListBullet"/>
      </w:pPr>
      <w:r>
        <w:t>When assessment changes an incident's severity, the new severity's target applies from the moment of the change.</w:t>
      </w:r>
    </w:p>
    <w:p>
      <w:pPr>
        <w:pStyle w:val="ListBullet"/>
      </w:pPr>
      <w:r>
        <w:t>An incident that recurs after closure is a new incident; its record references the closed one.</w:t>
      </w:r>
    </w:p>
    <w:p>
      <w:pPr>
        <w:pStyle w:val="Heading2"/>
      </w:pPr>
      <w:r>
        <w:t xml:space="preserve">3.5 Containment, Eradication, and Recovery</w:t>
      </w:r>
    </w:p>
    <w:p>
      <w:pPr>
        <w:pStyle w:val="ListBullet"/>
      </w:pPr>
      <w:r>
        <w:t xml:space="preserve">The first goal is to </w:t>
      </w:r>
      <w:r>
        <w:rPr>
          <w:b/>
        </w:rPr>
        <w:t>contain</w:t>
      </w:r>
      <w:r>
        <w:t>: stop the incident spreading and limit the harm (for example isolating a device, disabling an account, or revoking a token), while preserving evidence (Section 3.8).</w:t>
      </w:r>
    </w:p>
    <w:p>
      <w:pPr>
        <w:pStyle w:val="ListBullet"/>
      </w:pPr>
      <w:r>
        <w:t xml:space="preserve">If the organization has cyber insurance, notify the insurer early: before outside forensics are engaged or major remediation starts, but without delaying containment. Use the insurer's approved vendors where the cover requires, so the response does not void the claim.</w:t>
      </w:r>
    </w:p>
    <w:p>
      <w:pPr>
        <w:pStyle w:val="ListBullet"/>
      </w:pPr>
      <w:r>
        <w:t xml:space="preserve">Then </w:t>
      </w:r>
      <w:r>
        <w:rPr>
          <w:b/>
        </w:rPr>
        <w:t>eradicate</w:t>
      </w:r>
      <w:r>
        <w:t xml:space="preserve"> the cause: remove malware, close the exploited weakness, and reset or rotate any credentials, keys, or tokens that may be exposed.</w:t>
      </w:r>
    </w:p>
    <w:p>
      <w:pPr>
        <w:pStyle w:val="ListBullet"/>
      </w:pPr>
      <w:r>
        <w:t xml:space="preserve">Then </w:t>
      </w:r>
      <w:r>
        <w:rPr>
          <w:b/>
        </w:rPr>
        <w:t>recover</w:t>
      </w:r>
      <w:r>
        <w:t>: restore systems and data from trusted backups, confirm they are clean, and monitor closely for a return of the problem before standing down.</w:t>
      </w:r>
    </w:p>
    <w:p>
      <w:pPr>
        <w:pStyle w:val="ListBullet"/>
      </w:pPr>
      <w:r>
        <w:t>Every action and decision is recorded with its time as the incident is handled, so the timeline can be reconstructed afterward.</w:t>
      </w:r>
    </w:p>
    <w:p>
      <w:pPr>
        <w:pStyle w:val="ListBullet"/>
      </w:pPr>
      <w:r>
        <w:t>The Information Security Lead signs off the incident as closed once the steps that apply are complete: contained, eradicated, and recovered as the incident required, with the evidence and incident record complete.</w:t>
      </w:r>
    </w:p>
    <w:p>
      <w:pPr>
        <w:pStyle w:val="Heading2"/>
      </w:pPr>
      <w:r>
        <w:t xml:space="preserve">3.6 Fraudulent Payments and Business Email Compromise</w:t>
      </w:r>
    </w:p>
    <w:p>
      <w:pPr>
        <w:pStyle w:val="ListBullet"/>
      </w:pPr>
      <w:r>
        <w:t>A fraudulent payment or business email compromise (BEC: fraud run through a compromised or impersonated business email account to have money sent or payment details changed) is time-critical: money can sometimes be recovered only within hours. The trick can arrive through any channel: a hijacked or spoofed email account, a message, a phone call, or a video call, including AI-generated voice or video imitating a real person.</w:t>
      </w:r>
    </w:p>
    <w:p>
      <w:pPr>
        <w:pStyle w:val="ListBullet"/>
      </w:pPr>
      <w:r>
        <w:t>On discovery, report it at once (Section 7.0), and the response team acts immediately. Whoever holds the organization's banking relationship (finance, or the owner) contacts the bank or payment provider at once to try to recall or freeze the transfer, and the response team reports to law enforcement and the relevant national cybercrime or fraud reporting body (in the United States, the FBI Internet Crime Complaint Center, IC3). It preserves the messages, call records, and account activity, and, where an account is involved, secures it (resetting its password, revoking its sessions, and checking for mail-forwarding rules).</w:t>
      </w:r>
    </w:p>
    <w:p>
      <w:pPr>
        <w:pStyle w:val="ListBullet"/>
      </w:pPr>
      <w:r>
        <w:t>Where an account is involved, treat it as compromised and follow the rest of this policy. A fraudulent payment is at least a high-severity incident.</w:t>
      </w:r>
    </w:p>
    <w:p>
      <w:pPr>
        <w:pStyle w:val="Heading2"/>
      </w:pPr>
      <w:r>
        <w:t xml:space="preserve">3.7 Ransomware and Extortion</w:t>
      </w:r>
    </w:p>
    <w:p>
      <w:pPr>
        <w:pStyle w:val="ListBullet"/>
      </w:pPr>
      <w:r>
        <w:t>Paying a ransom or meeting an extortion demand is a last resort. Only Executive Management can authorize payment or negotiation.</w:t>
      </w:r>
    </w:p>
    <w:p>
      <w:pPr>
        <w:pStyle w:val="ListBullet"/>
      </w:pPr>
      <w:r>
        <w:t>Before any payment or negotiation, the organization takes legal advice and checks that payment would not breach sanctions (paying some groups is illegal). It also involves the cyber insurer: the insurance policy may cover the incident, and the insurer may require its own approved negotiators.</w:t>
      </w:r>
    </w:p>
    <w:p>
      <w:pPr>
        <w:pStyle w:val="ListBullet"/>
      </w:pPr>
      <w:r>
        <w:t>Ransomware and extortion are reported to law enforcement by the executive-approved representative (Section 3.9), in the United States to IC3 or the local FBI field office, unless legal counsel advises otherwise. The decision is recorded either way.</w:t>
      </w:r>
    </w:p>
    <w:p>
      <w:pPr>
        <w:pStyle w:val="ListBullet"/>
      </w:pPr>
      <w:r>
        <w:t>Recovery from clean backups is the preferred path. A decision to pay weighs whether payment is lawful, whether it would actually restore the data, and the risk that paying invites repeat attacks.</w:t>
      </w:r>
    </w:p>
    <w:p>
      <w:pPr>
        <w:pStyle w:val="Heading2"/>
      </w:pPr>
      <w:r>
        <w:t xml:space="preserve">3.8 Evidence Handling</w:t>
      </w:r>
    </w:p>
    <w:p>
      <w:pPr>
        <w:pStyle w:val="ListBullet"/>
      </w:pPr>
      <w:r>
        <w:t xml:space="preserve">Where an incident may lead to legal action, insurance claims, or discipline, evidence is preserved and its handling documented through a chain of custody: what was collected, when and how, who handled it, and how it was stored, so it stays trustworthy.</w:t>
      </w:r>
    </w:p>
    <w:p>
      <w:pPr>
        <w:pStyle w:val="ListBullet"/>
      </w:pPr>
      <w:r>
        <w:t>Where litigation or regulatory action is possible, the investigation is directed by legal counsel, so that the investigation report and findings keep legal privilege (protection from being forced to hand them over in a lawsuit) and are not needlessly exposed. Where counsel cannot direct the investigation, the reason is recorded.</w:t>
      </w:r>
    </w:p>
    <w:p>
      <w:pPr>
        <w:pStyle w:val="ListBullet"/>
      </w:pPr>
      <w:r>
        <w:t xml:space="preserve">Once the organization reasonably anticipates litigation, a government or regulatory investigation, or a claim or dispute likely to lead to either, the organization suspends routine deletion and log rotation for the affected data (a legal hold) so evidence is not lost to normal expiry. The Data Handling Policy defines how holds are declared and lifted.</w:t>
      </w:r>
    </w:p>
    <w:p>
      <w:pPr>
        <w:pStyle w:val="ListBullet"/>
      </w:pPr>
      <w:r>
        <w:t xml:space="preserve">Evidence and logs are protected from tampering, and access to them is restricted to those handling the incident.</w:t>
      </w:r>
    </w:p>
    <w:p>
      <w:pPr>
        <w:pStyle w:val="Heading2"/>
      </w:pPr>
      <w:r>
        <w:t xml:space="preserve">3.9 Communication and Notification</w:t>
      </w:r>
    </w:p>
    <w:p>
      <w:pPr>
        <w:pStyle w:val="ListBullet"/>
      </w:pPr>
      <w:r>
        <w:t>Inside the organization, only the people who need to know are told, and incident details are shared through approved channels only. Do not discuss an incident externally or with colleagues who are not involved; talking about it more widely can harm the response or the people affected. This does not prevent a good-faith report (Section 7.0) or activity the law protects (such as whistleblowing).</w:t>
      </w:r>
    </w:p>
    <w:p>
      <w:pPr>
        <w:pStyle w:val="ListBullet"/>
      </w:pPr>
      <w:r>
        <w:t xml:space="preserve">Outside the organization, only an executive-approved representative speaks for the organization and coordinates with legal counsel. The representative notifies the parties owed notice: regulators, affected individuals, and, where the organization handles data for a business client, that client. The exception is the time-critical operational work in Sections 3.5 and 3.6: the response team and whoever holds the banking relationship contact the insurer and the bank or payment provider, and report fraud to law enforcement, as those sections direct.</w:t>
      </w:r>
    </w:p>
    <w:p>
      <w:pPr>
        <w:pStyle w:val="ListBullet"/>
      </w:pPr>
      <w:r>
        <w:t xml:space="preserve">Notification follows the legal, regulatory, and contractual duties the organization has recorded (see the Information Security Policy), which set who must be told and how quickly. </w:t>
      </w:r>
      <w:r>
        <w:rPr>
          <w:highlight w:val="yellow"/>
        </w:rPr>
        <w:t xml:space="preserve">[Where those duties are unclear or unrecorded, a breach of personal or regulated data that is confirmed, or that is likely on the facts known, is still notified without undue delay (promptly, without waiting for every detail to be confirmed).]</w:t>
      </w:r>
    </w:p>
    <w:p>
      <w:pPr>
        <w:pStyle w:val="ListBullet"/>
      </w:pPr>
      <w:r>
        <w:t>Where Executive Management cannot be reached in time to meet a notification deadline, the Information Security Lead approves the notification and reports to Executive Management at the first opportunity.</w:t>
      </w:r>
    </w:p>
    <w:p>
      <w:pPr>
        <w:pStyle w:val="ListBullet"/>
      </w:pPr>
      <w:r>
        <w:t xml:space="preserve">The representative, with counsel, decides the order of notifications, including any request from law enforcement to delay telling affected people while an investigation runs.</w:t>
      </w:r>
    </w:p>
    <w:p>
      <w:pPr>
        <w:pStyle w:val="ListBullet"/>
      </w:pPr>
      <w:r>
        <w:t xml:space="preserve">Executive Management is informed whenever an incident may have legal, regulatory, or serious business consequences.</w:t>
      </w:r>
    </w:p>
    <w:p>
      <w:pPr>
        <w:pStyle w:val="Heading2"/>
      </w:pPr>
      <w:r>
        <w:t xml:space="preserve">3.10 Learning and Improvement</w:t>
      </w:r>
    </w:p>
    <w:p>
      <w:pPr>
        <w:pStyle w:val="ListBullet"/>
      </w:pPr>
      <w:r>
        <w:t xml:space="preserve">After every significant incident, a post-incident review is held promptly (within </w:t>
      </w:r>
      <w:r>
        <w:rPr>
          <w:highlight w:val="yellow"/>
        </w:rPr>
        <w:t>[ten]</w:t>
      </w:r>
      <w:r>
        <w:t xml:space="preserve"> business days of closure) to establish the root cause, what worked and what did not, and the corrective and preventive actions. The review also records any customer or service-level agreement (SLA) impact.</w:t>
      </w:r>
    </w:p>
    <w:p>
      <w:pPr>
        <w:pStyle w:val="ListBullet"/>
      </w:pPr>
      <w:r>
        <w:t>Corrective actions are assigned owners and due dates and are tracked to completion. The lessons feed the organization's risk assessment and its security improvements.</w:t>
      </w:r>
    </w:p>
    <w:p>
      <w:pPr>
        <w:pStyle w:val="Heading2"/>
      </w:pPr>
      <w:r>
        <w:t xml:space="preserve">3.11 Testing and Exercises</w:t>
      </w:r>
    </w:p>
    <w:p>
      <w:pPr>
        <w:pStyle w:val="ListBullet"/>
      </w:pPr>
      <w:r>
        <w:t xml:space="preserve">The incident response plan is tested at least annually, through a tabletop exercise (a guided talk-through of a realistic incident scenario) or a simulation, so the team knows its part and gaps are found before a real incident. A combined exercise with the Business Continuity &amp; Disaster Recovery Plan's annual test satisfies both requirements.</w:t>
      </w:r>
    </w:p>
    <w:p>
      <w:pPr>
        <w:pStyle w:val="ListBullet"/>
      </w:pPr>
      <w:r>
        <w:t xml:space="preserve">Test results, like real incidents, produce tracked improvements to the plan.</w:t>
      </w:r>
    </w:p>
    <w:p>
      <w:pPr>
        <w:pStyle w:val="Heading1"/>
      </w:pPr>
      <w:r>
        <w:t xml:space="preserve">4.0 Roles and Responsibilities</w:t>
      </w:r>
    </w:p>
    <w:p>
      <w:pPr>
        <w:pStyle w:val="ListBullet"/>
      </w:pPr>
      <w:r>
        <w:t>The Information Security Lead owns this policy and the incident response plan. The Lead leads the response to significant incidents, decides severity and escalation, holds the post-incident review, tracks corrective actions to completion, and reports significant incidents to Executive Management.</w:t>
      </w:r>
    </w:p>
    <w:p>
      <w:pPr>
        <w:pStyle w:val="ListBullet"/>
      </w:pPr>
      <w:r>
        <w:t>Executive Management provides the funding and authority the response needs, is brought directly into the response for critical incidents, approves any external notification (except the time-critical operational work in Sections 3.5 and 3.6, which the response team handles; see Section 3.9), and reports significant incidents and their handling to the Board of Directors or owners.</w:t>
      </w:r>
    </w:p>
    <w:p>
      <w:pPr>
        <w:pStyle w:val="ListBullet"/>
      </w:pPr>
      <w:r>
        <w:t xml:space="preserve">Security operations (an internal team, a managed provider, or the retained external firm), with IT, detects and triages incidents, carries out containment, investigation, eradication, and recovery, and preserves evidence.</w:t>
      </w:r>
    </w:p>
    <w:p>
      <w:pPr>
        <w:pStyle w:val="ListBullet"/>
      </w:pPr>
      <w:r>
        <w:t>An executive-approved representative is the only person who notifies or speaks to outside parties about an incident (regulators, affected individuals, an affected business client, law enforcement, media), coordinating with legal counsel. The time-critical operational work in Sections 3.5 and 3.6 is the exception (see Section 3.9).</w:t>
      </w:r>
    </w:p>
    <w:p>
      <w:pPr>
        <w:pStyle w:val="ListBullet"/>
      </w:pPr>
      <w:r>
        <w:t xml:space="preserve">Human Resources supports incidents that involve people (for example insider actions or disciplinary matters); its wider duties are set in the Information Security Policy.</w:t>
      </w:r>
    </w:p>
    <w:p>
      <w:pPr>
        <w:pStyle w:val="ListBullet"/>
      </w:pPr>
      <w:r>
        <w:t xml:space="preserve">Everyone reports suspected incidents promptly (Section 7.0) and cooperates with the response.</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 xml:space="preserve">Everyone covered by this policy shall report suspected security incidents, compromised credentials, lost or stolen devices, and other security concerns promptly. Use the incident reporting contacts kept in the Information Security Policy (its Appendix 1). A report to any manager counts; the manager passes it to those contacts. A concern that involves the Information Security Lead, or anyone named in those contacts, goes instead to Executive Management. A manager who receives such a report passes it there.</w:t>
      </w:r>
    </w:p>
    <w:p>
      <w:r>
        <w:t xml:space="preserve">Report as soon as you notice a possible incident. Anything that looks serious cannot wait for the next working day. If unsure, treat it as serious and report at once. A useful report says what happened, when, which systems or data are involved, and how to reach the reporter. Failing to report a security incident you know about or reasonably suspect is itself a policy violation (see Section 8.0).</w:t>
      </w:r>
    </w:p>
    <w:p>
      <w:r>
        <w:t xml:space="preserve">Until whoever leads the response says otherwise: do not switch off an affected device (lock it or disconnect it from the network instead), do not delete anything, do not reply to or forward a suspicious message, and do not pay or promise payment.</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Access Control Policy: revoking compromised access during an incident.</w:t>
      </w:r>
    </w:p>
    <w:p>
      <w:pPr>
        <w:pStyle w:val="ListBullet"/>
      </w:pPr>
      <w:r>
        <w:t xml:space="preserve">The Data Handling Policy: the classification that drives severity and breach assessment.</w:t>
      </w:r>
    </w:p>
    <w:p>
      <w:pPr>
        <w:pStyle w:val="ListBullet"/>
      </w:pPr>
      <w:r>
        <w:t xml:space="preserve">The Acceptable Use Policy: the duty to report.</w:t>
      </w:r>
    </w:p>
    <w:p>
      <w:pPr>
        <w:pStyle w:val="ListBullet"/>
      </w:pPr>
      <w:r>
        <w:t xml:space="preserve">The Vendor Risk Management Policy: the provider notification and cooperation terms Section 3.2 relies on, and the handling of vendor incidents.</w:t>
      </w:r>
    </w:p>
    <w:p>
      <w:pPr>
        <w:pStyle w:val="ListBullet"/>
      </w:pPr>
      <w:r>
        <w:t xml:space="preserve">The Remote Work &amp; Mobile Device Policy: lost or compromised devices are assessed under this policy.</w:t>
      </w:r>
    </w:p>
    <w:p>
      <w:pPr>
        <w:pStyle w:val="ListBullet"/>
      </w:pPr>
      <w:r>
        <w:t xml:space="preserve">The Change Management Policy: lasting system changes made during a response are recorded there after closure.</w:t>
      </w:r>
    </w:p>
    <w:p>
      <w:pPr>
        <w:pStyle w:val="ListBullet"/>
      </w:pPr>
      <w:r>
        <w:t xml:space="preserve">The Vulnerability Management Policy: an exploited vulnerability is an incident.</w:t>
      </w:r>
    </w:p>
    <w:p>
      <w:pPr>
        <w:pStyle w:val="ListBullet"/>
      </w:pPr>
      <w:r>
        <w:t xml:space="preserve">The AI Acceptable Use Policy: the AI-specific problems it directs people to report, which are handled as incidents under this policy.</w:t>
      </w:r>
    </w:p>
    <w:p>
      <w:pPr>
        <w:pStyle w:val="ListBullet"/>
      </w:pPr>
      <w:r>
        <w:t xml:space="preserve">The Logging and Monitoring Policy: the logging, clock, and watching rules behind detection; what its monitoring finds arrives here as incidents.</w:t>
      </w:r>
    </w:p>
    <w:p>
      <w:pPr>
        <w:pStyle w:val="ListBullet"/>
      </w:pPr>
      <w:r>
        <w:t xml:space="preserve">The Email Security Policy: the organization-side mail protections; what they catch or miss arrives here, including the fraud path.</w:t>
      </w:r>
    </w:p>
    <w:p>
      <w:pPr>
        <w:pStyle w:val="ListBullet"/>
      </w:pPr>
      <w:r>
        <w:t xml:space="preserve">The Encryption Policy: it routes a lost or exposed key here as a security incident.</w:t>
      </w:r>
    </w:p>
    <w:p>
      <w:pPr>
        <w:pStyle w:val="ListBullet"/>
      </w:pPr>
      <w:r>
        <w:t xml:space="preserve">The Business Continuity &amp; Disaster Recovery Plan: recovering after a disruption; when an incident also disrupts the business, the two run together.</w:t>
      </w:r>
    </w:p>
    <w:p>
      <w:pPr>
        <w:pStyle w:val="ListBullet"/>
      </w:pPr>
      <w:r>
        <w:t xml:space="preserve">The Physical and Environmental Security Policy: it routes a physical intrusion here as a security incident.</w:t>
      </w:r>
    </w:p>
    <w:p>
      <w:r>
        <w:t xml:space="preserve">Where any of these does not exist yet, treat it as a roadmap item; the rules in this policy apply on their own regardless.</w:t>
      </w:r>
    </w:p>
    <w:p>
      <w:r>
        <w:t>At a policy level, these rules put into practice the incident management controls of ISO/IEC 27001:2022 Annex A (controls 5.24 to 5.28: information security incident management planning and preparation, assessment and decision on information security events, response to information security incidents, learning from information security incidents, and collection of evidence), and control 6.8 (information security event reporting: the duty in Section 7.0). They follow the current NIST incident-response guidance, Special Publication (SP) 800-61 Revision 3, which maps incident response across the NIST Cybersecurity Framework 2.0. Its Detect, Respond, and Recover functions cover handling an incident; its Govern, Identify, and Protect functions cover the preparation and learning in Sections 3.2 and 3.10.</w:t>
      </w:r>
    </w:p>
    <w:p>
      <w:pPr>
        <w:pStyle w:val="Heading1"/>
        <w:pageBreakBefore/>
      </w:pPr>
      <w:r>
        <w:t xml:space="preserve">Appendix 1: Severity Levels and Incident Record</w:t>
      </w:r>
    </w:p>
    <w:p>
      <w:r>
        <w:t xml:space="preserve">Severity guides how fast and how far an incident is escalated. </w:t>
      </w:r>
      <w:r>
        <w:rPr>
          <w:highlight w:val="yellow"/>
        </w:rPr>
        <w:t xml:space="preserve">[Set the response targets to fit the organization; the levels below are a starting point. Set targets your on-call arrangements can meet; where the risk needs a faster response, improve the arrangements.]</w:t>
      </w:r>
    </w:p>
    <w:tbl>
      <w:tblPr>
        <w:tblStyle w:val="TableGrid"/>
        <w:tblW w:type="auto" w:w="0"/>
        <w:tblLook w:firstColumn="1" w:firstRow="1" w:lastColumn="0" w:lastRow="0" w:noHBand="0" w:noVBand="1" w:val="04A0"/>
      </w:tblPr>
      <w:tblGrid>
        <w:gridCol w:w="1400"/>
        <w:gridCol w:w="6800"/>
        <w:gridCol w:w="2600"/>
      </w:tblGrid>
      <w:tr>
        <w:tc>
          <w:tcPr>
            <w:tcW w:type="dxa" w:w="1400"/>
          </w:tcPr>
          <w:p>
            <w:r>
              <w:rPr>
                <w:b/>
              </w:rPr>
              <w:t xml:space="preserve">Level</w:t>
            </w:r>
          </w:p>
        </w:tc>
        <w:tc>
          <w:tcPr>
            <w:tcW w:type="dxa" w:w="6800"/>
          </w:tcPr>
          <w:p>
            <w:r>
              <w:rPr>
                <w:b/>
              </w:rPr>
              <w:t xml:space="preserve">What it looks like</w:t>
            </w:r>
          </w:p>
        </w:tc>
        <w:tc>
          <w:tcPr>
            <w:tcW w:type="dxa" w:w="2600"/>
          </w:tcPr>
          <w:p>
            <w:r>
              <w:rPr>
                <w:b/>
              </w:rPr>
              <w:t xml:space="preserve">Initial response target</w:t>
            </w:r>
          </w:p>
        </w:tc>
      </w:tr>
      <w:tr>
        <w:tc>
          <w:tcPr>
            <w:tcW w:type="dxa" w:w="1400"/>
          </w:tcPr>
          <w:p>
            <w:r>
              <w:t xml:space="preserve">Low</w:t>
            </w:r>
          </w:p>
        </w:tc>
        <w:tc>
          <w:tcPr>
            <w:tcW w:type="dxa" w:w="6800"/>
          </w:tcPr>
          <w:p>
            <w:r>
              <w:t>Minor and limited in extent; no sensitive or personal data; little or no disruption; no legal or contractual duty.</w:t>
            </w:r>
          </w:p>
        </w:tc>
        <w:tc>
          <w:tcPr>
            <w:tcW w:type="dxa" w:w="2600"/>
          </w:tcPr>
          <w:p>
            <w:r>
              <w:rPr>
                <w:highlight w:val="yellow"/>
              </w:rPr>
              <w:t xml:space="preserve">[Next business day]</w:t>
            </w:r>
          </w:p>
        </w:tc>
      </w:tr>
      <w:tr>
        <w:tc>
          <w:tcPr>
            <w:tcW w:type="dxa" w:w="1400"/>
          </w:tcPr>
          <w:p>
            <w:r>
              <w:t xml:space="preserve">Medium</w:t>
            </w:r>
          </w:p>
        </w:tc>
        <w:tc>
          <w:tcPr>
            <w:tcW w:type="dxa" w:w="6800"/>
          </w:tcPr>
          <w:p>
            <w:r>
              <w:t>Sensitive data involved but exposure unlikely, or some disruption; a legal or contractual duty is unlikely.</w:t>
            </w:r>
          </w:p>
        </w:tc>
        <w:tc>
          <w:tcPr>
            <w:tcW w:type="dxa" w:w="2600"/>
          </w:tcPr>
          <w:p>
            <w:r>
              <w:rPr>
                <w:highlight w:val="yellow"/>
              </w:rPr>
              <w:t xml:space="preserve">[Within 4 business hours]</w:t>
            </w:r>
          </w:p>
        </w:tc>
      </w:tr>
      <w:tr>
        <w:tc>
          <w:tcPr>
            <w:tcW w:type="dxa" w:w="1400"/>
          </w:tcPr>
          <w:p>
            <w:r>
              <w:t xml:space="preserve">High</w:t>
            </w:r>
          </w:p>
        </w:tc>
        <w:tc>
          <w:tcPr>
            <w:tcW w:type="dxa" w:w="6800"/>
          </w:tcPr>
          <w:p>
            <w:r>
              <w:t>Any of: sensitive or personal data likely exposed; significant disruption; a fraudulent payment or major financial loss; a legal or contractual duty is likely. Escalate to the Information Security Lead.</w:t>
            </w:r>
          </w:p>
        </w:tc>
        <w:tc>
          <w:tcPr>
            <w:tcW w:type="dxa" w:w="2600"/>
          </w:tcPr>
          <w:p>
            <w:r>
              <w:rPr>
                <w:highlight w:val="yellow"/>
              </w:rPr>
              <w:t xml:space="preserve">[Within 1 hour]</w:t>
            </w:r>
          </w:p>
        </w:tc>
      </w:tr>
      <w:tr>
        <w:tc>
          <w:tcPr>
            <w:tcW w:type="dxa" w:w="1400"/>
          </w:tcPr>
          <w:p>
            <w:r>
              <w:t xml:space="preserve">Critical</w:t>
            </w:r>
          </w:p>
        </w:tc>
        <w:tc>
          <w:tcPr>
            <w:tcW w:type="dxa" w:w="6800"/>
          </w:tcPr>
          <w:p>
            <w:r>
              <w:t xml:space="preserve">Any of: a confirmed breach of sensitive or personal data; an outage that stops a critical activity; an active attacker. The Information Security Lead brings in Executive Management immediately.</w:t>
            </w:r>
          </w:p>
        </w:tc>
        <w:tc>
          <w:tcPr>
            <w:tcW w:type="dxa" w:w="2600"/>
          </w:tcPr>
          <w:p>
            <w:r>
              <w:rPr>
                <w:highlight w:val="yellow"/>
              </w:rPr>
              <w:t xml:space="preserve">[Immediate]</w:t>
            </w:r>
          </w:p>
        </w:tc>
      </w:tr>
    </w:tbl>
    <w:p>
      <w:r>
        <w:t>Keep a record of each incident, here or in the system used for incidents. Retain closed records per the organization's data handling rules. Each record covers:</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Incident reference and date</w:t>
            </w:r>
          </w:p>
        </w:tc>
        <w:tc>
          <w:tcPr>
            <w:tcW w:type="dxa" w:w="5400"/>
          </w:tcPr>
          <w:p/>
        </w:tc>
      </w:tr>
      <w:tr>
        <w:tc>
          <w:tcPr>
            <w:tcW w:type="dxa" w:w="5400"/>
          </w:tcPr>
          <w:p>
            <w:r>
              <w:rPr>
                <w:b/>
              </w:rPr>
              <w:t xml:space="preserve">Reported or detected by, and how</w:t>
            </w:r>
          </w:p>
        </w:tc>
        <w:tc>
          <w:tcPr>
            <w:tcW w:type="dxa" w:w="5400"/>
          </w:tcPr>
          <w:p/>
        </w:tc>
      </w:tr>
      <w:tr>
        <w:tc>
          <w:tcPr>
            <w:tcW w:type="dxa" w:w="5400"/>
          </w:tcPr>
          <w:p>
            <w:r>
              <w:rPr>
                <w:b/>
              </w:rPr>
              <w:t>When it was detected or reported, and when the response began</w:t>
            </w:r>
          </w:p>
        </w:tc>
        <w:tc>
          <w:tcPr>
            <w:tcW w:type="dxa" w:w="5400"/>
          </w:tcPr>
          <w:p/>
        </w:tc>
      </w:tr>
      <w:tr>
        <w:tc>
          <w:tcPr>
            <w:tcW w:type="dxa" w:w="5400"/>
          </w:tcPr>
          <w:p>
            <w:r>
              <w:rPr>
                <w:b/>
              </w:rPr>
              <w:t xml:space="preserve">Description</w:t>
            </w:r>
          </w:p>
        </w:tc>
        <w:tc>
          <w:tcPr>
            <w:tcW w:type="dxa" w:w="5400"/>
          </w:tcPr>
          <w:p/>
        </w:tc>
      </w:tr>
      <w:tr>
        <w:tc>
          <w:tcPr>
            <w:tcW w:type="dxa" w:w="5400"/>
          </w:tcPr>
          <w:p>
            <w:r>
              <w:rPr>
                <w:b/>
              </w:rPr>
              <w:t xml:space="preserve">Systems and data affected</w:t>
            </w:r>
          </w:p>
        </w:tc>
        <w:tc>
          <w:tcPr>
            <w:tcW w:type="dxa" w:w="5400"/>
          </w:tcPr>
          <w:p/>
        </w:tc>
      </w:tr>
      <w:tr>
        <w:tc>
          <w:tcPr>
            <w:tcW w:type="dxa" w:w="5400"/>
          </w:tcPr>
          <w:p>
            <w:r>
              <w:rPr>
                <w:b/>
              </w:rPr>
              <w:t>Severity (initial and final, with any changes and when)</w:t>
            </w:r>
          </w:p>
        </w:tc>
        <w:tc>
          <w:tcPr>
            <w:tcW w:type="dxa" w:w="5400"/>
          </w:tcPr>
          <w:p/>
        </w:tc>
      </w:tr>
      <w:tr>
        <w:tc>
          <w:tcPr>
            <w:tcW w:type="dxa" w:w="5400"/>
          </w:tcPr>
          <w:p>
            <w:r>
              <w:rPr>
                <w:b/>
              </w:rPr>
              <w:t xml:space="preserve">Actions taken (contain, eradicate, recover)</w:t>
            </w:r>
          </w:p>
        </w:tc>
        <w:tc>
          <w:tcPr>
            <w:tcW w:type="dxa" w:w="5400"/>
          </w:tcPr>
          <w:p/>
        </w:tc>
      </w:tr>
      <w:tr>
        <w:tc>
          <w:tcPr>
            <w:tcW w:type="dxa" w:w="5400"/>
          </w:tcPr>
          <w:p>
            <w:r>
              <w:rPr>
                <w:b/>
              </w:rPr>
              <w:t xml:space="preserve">Notification decision and reasoning (including any decision not to notify)</w:t>
            </w:r>
          </w:p>
        </w:tc>
        <w:tc>
          <w:tcPr>
            <w:tcW w:type="dxa" w:w="5400"/>
          </w:tcPr>
          <w:p/>
        </w:tc>
      </w:tr>
      <w:tr>
        <w:tc>
          <w:tcPr>
            <w:tcW w:type="dxa" w:w="5400"/>
          </w:tcPr>
          <w:p>
            <w:r>
              <w:rPr>
                <w:b/>
              </w:rPr>
              <w:t xml:space="preserve">External notifications made (who and when)</w:t>
            </w:r>
          </w:p>
        </w:tc>
        <w:tc>
          <w:tcPr>
            <w:tcW w:type="dxa" w:w="5400"/>
          </w:tcPr>
          <w:p/>
        </w:tc>
      </w:tr>
      <w:tr>
        <w:tc>
          <w:tcPr>
            <w:tcW w:type="dxa" w:w="5400"/>
          </w:tcPr>
          <w:p>
            <w:r>
              <w:rPr>
                <w:b/>
              </w:rPr>
              <w:t xml:space="preserve">Costs and business impact (for any insurance claim)</w:t>
            </w:r>
          </w:p>
        </w:tc>
        <w:tc>
          <w:tcPr>
            <w:tcW w:type="dxa" w:w="5400"/>
          </w:tcPr>
          <w:p/>
        </w:tc>
      </w:tr>
      <w:tr>
        <w:tc>
          <w:tcPr>
            <w:tcW w:type="dxa" w:w="5400"/>
          </w:tcPr>
          <w:p>
            <w:r>
              <w:rPr>
                <w:b/>
              </w:rPr>
              <w:t xml:space="preserve">Root cause</w:t>
            </w:r>
          </w:p>
        </w:tc>
        <w:tc>
          <w:tcPr>
            <w:tcW w:type="dxa" w:w="5400"/>
          </w:tcPr>
          <w:p/>
        </w:tc>
      </w:tr>
      <w:tr>
        <w:tc>
          <w:tcPr>
            <w:tcW w:type="dxa" w:w="5400"/>
          </w:tcPr>
          <w:p>
            <w:r>
              <w:rPr>
                <w:b/>
              </w:rPr>
              <w:t xml:space="preserve">Corrective actions (owner and due date)</w:t>
            </w:r>
          </w:p>
        </w:tc>
        <w:tc>
          <w:tcPr>
            <w:tcW w:type="dxa" w:w="5400"/>
          </w:tcPr>
          <w:p/>
        </w:tc>
      </w:tr>
      <w:tr>
        <w:tc>
          <w:tcPr>
            <w:tcW w:type="dxa" w:w="5400"/>
          </w:tcPr>
          <w:p>
            <w:r>
              <w:rPr>
                <w:b/>
              </w:rPr>
              <w:t xml:space="preserve">Closed by and date</w:t>
            </w:r>
          </w:p>
        </w:tc>
        <w:tc>
          <w:tcPr>
            <w:tcW w:type="dxa" w:w="54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Incident Response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3858</Words>
  <Characters>20171</Characters>
  <DocSecurity>0</DocSecurity>
  <Lines>211</Lines>
  <Paragraphs>131</Paragraphs>
  <ScaleCrop>false</ScaleCrop>
  <HeadingPairs>
    <vt:vector size="2" baseType="variant">
      <vt:variant>
        <vt:lpstr>Title</vt:lpstr>
      </vt:variant>
      <vt:variant>
        <vt:i4>1</vt:i4>
      </vt:variant>
    </vt:vector>
  </HeadingPairs>
  <TitlesOfParts>
    <vt:vector size="1" baseType="lpstr">
      <vt:lpstr>Incident Response Policy</vt:lpstr>
    </vt:vector>
  </TitlesOfParts>
  <Manager/>
  <Company>anoBytes Technology Solutions LLC</Company>
  <LinksUpToDate>false</LinksUpToDate>
  <CharactersWithSpaces>23778</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Incident Response Policy</dc:title>
  <dc:subject>Incident response policy template</dc:subject>
  <dc:creator>Nelson Pereira, anoBytes Technology Solutions LLC</dc:creator>
  <cp:keywords>incident response plan, triage, containment, severity levels, evidence, chain of custody, forensics, ransomware, bec, business email compromise, fraudulent payment, law enforcement, fbi, ic3, internet crime complaint center, insurer, cyber insurance, tabletop, post-incident review, root cause, corrective actions, security event, response team, notification</cp:keywords>
  <dc:description>The incident response companion to our security policy set: severity levels and response targets, containment and recovery, the fraud and ransomware paths, and breach notification, following the current NIST guidance, SP 800-61 Revision 3. Free to adapt for your organization.</dc:description>
  <cp:lastModifiedBy/>
  <cp:revision>1</cp:revision>
  <dcterms:created xsi:type="dcterms:W3CDTF">2026-07-14T00:00:00Z</dcterms:created>
  <dcterms:modified xsi:type="dcterms:W3CDTF">2026-08-06T00:00:00Z</dcterms:modified>
  <cp:category>Template</cp:category>
</cp:coreProperties>
</file>