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Information Security Policy</w:t>
      </w:r>
    </w:p>
    <w:p>
      <w:r>
        <w:rPr>
          <w:b/>
        </w:rPr>
        <w:t>Document Control</w:t>
      </w:r>
    </w:p>
    <w:tbl>
      <w:tblPr>
        <w:tblStyle w:val="TableGrid"/>
        <w:tblW w:type="auto" w:w="0"/>
        <w:tblLook w:firstColumn="1" w:firstRow="1" w:lastColumn="0" w:lastRow="0" w:noHBand="0" w:noVBand="1" w:val="04A0"/>
      </w:tblPr>
      <w:tblGrid>
        <w:gridCol w:w="5400"/>
        <w:gridCol w:w="5400"/>
      </w:tblGrid>
      <w:tr>
        <w:tc>
          <w:tcPr>
            <w:tcW w:type="dxa" w:w="5400"/>
          </w:tcPr>
          <w:p>
            <w:r>
              <w:rPr>
                <w:b/>
              </w:rPr>
              <w:t>Document title</w:t>
            </w:r>
          </w:p>
        </w:tc>
        <w:tc>
          <w:tcPr>
            <w:tcW w:type="dxa" w:w="5400"/>
          </w:tcPr>
          <w:p>
            <w:r>
              <w:t>Information Security Policy</w:t>
            </w:r>
          </w:p>
        </w:tc>
      </w:tr>
      <w:tr>
        <w:tc>
          <w:tcPr>
            <w:tcW w:type="dxa" w:w="5400"/>
          </w:tcPr>
          <w:p>
            <w:r>
              <w:rPr>
                <w:b/>
              </w:rPr>
              <w:t>Version</w:t>
            </w:r>
          </w:p>
        </w:tc>
        <w:tc>
          <w:tcPr>
            <w:tcW w:type="dxa" w:w="5400"/>
          </w:tcPr>
          <w:p>
            <w:r>
              <w:t>1.0</w:t>
            </w:r>
          </w:p>
        </w:tc>
      </w:tr>
      <w:tr>
        <w:tc>
          <w:tcPr>
            <w:tcW w:type="dxa" w:w="5400"/>
          </w:tcPr>
          <w:p>
            <w:r>
              <w:rPr>
                <w:b/>
              </w:rPr>
              <w:t>Document owner</w:t>
            </w:r>
          </w:p>
        </w:tc>
        <w:tc>
          <w:tcPr>
            <w:tcW w:type="dxa" w:w="5400"/>
          </w:tcPr>
          <w:p>
            <w:r>
              <w:t>Information Security Lead</w:t>
            </w:r>
          </w:p>
        </w:tc>
      </w:tr>
      <w:tr>
        <w:tc>
          <w:tcPr>
            <w:tcW w:type="dxa" w:w="5400"/>
          </w:tcPr>
          <w:p>
            <w:r>
              <w:rPr>
                <w:b/>
              </w:rPr>
              <w:t>Approved by</w:t>
            </w:r>
          </w:p>
        </w:tc>
        <w:tc>
          <w:tcPr>
            <w:tcW w:type="dxa" w:w="5400"/>
          </w:tcPr>
          <w:p>
            <w:r>
              <w:rPr>
                <w:highlight w:val="yellow"/>
              </w:rPr>
              <w:t>[Name and title, e.g., Chief Executive Officer]</w:t>
            </w:r>
          </w:p>
        </w:tc>
      </w:tr>
      <w:tr>
        <w:tc>
          <w:tcPr>
            <w:tcW w:type="dxa" w:w="5400"/>
          </w:tcPr>
          <w:p>
            <w:r>
              <w:rPr>
                <w:b/>
              </w:rPr>
              <w:t>Effective date</w:t>
            </w:r>
          </w:p>
        </w:tc>
        <w:tc>
          <w:tcPr>
            <w:tcW w:type="dxa" w:w="5400"/>
          </w:tcPr>
          <w:p>
            <w:r>
              <w:rPr>
                <w:highlight w:val="yellow"/>
              </w:rPr>
              <w:t>[Date]</w:t>
            </w:r>
          </w:p>
        </w:tc>
      </w:tr>
      <w:tr>
        <w:tc>
          <w:tcPr>
            <w:tcW w:type="dxa" w:w="5400"/>
          </w:tcPr>
          <w:p>
            <w:r>
              <w:rPr>
                <w:b/>
              </w:rPr>
              <w:t>Next review date</w:t>
            </w:r>
          </w:p>
        </w:tc>
        <w:tc>
          <w:tcPr>
            <w:tcW w:type="dxa" w:w="5400"/>
          </w:tcPr>
          <w:p>
            <w:r>
              <w:rPr>
                <w:highlight w:val="yellow"/>
              </w:rPr>
              <w:t>[Date, no later than one year after the effective date]</w:t>
            </w:r>
          </w:p>
        </w:tc>
      </w:tr>
      <w:tr>
        <w:tc>
          <w:tcPr>
            <w:tcW w:type="dxa" w:w="5400"/>
          </w:tcPr>
          <w:p>
            <w:r>
              <w:rPr>
                <w:b/>
              </w:rPr>
              <w:t>Classification</w:t>
            </w:r>
          </w:p>
        </w:tc>
        <w:tc>
          <w:tcPr>
            <w:tcW w:type="dxa" w:w="5400"/>
          </w:tcPr>
          <w:p>
            <w:r>
              <w:rPr>
                <w:highlight w:val="yellow"/>
              </w:rPr>
              <w:t>[e.g., Internal (shareable with customers and auditors on request)]</w:t>
            </w:r>
          </w:p>
        </w:tc>
      </w:tr>
    </w:tbl>
    <w:p>
      <w:r>
        <w:rPr>
          <w:b/>
        </w:rPr>
        <w:t>Revision History</w:t>
      </w:r>
    </w:p>
    <w:tbl>
      <w:tblPr>
        <w:tblStyle w:val="TableGrid"/>
        <w:tblW w:type="auto" w:w="0"/>
        <w:tblLook w:firstColumn="1" w:firstRow="1" w:lastColumn="0" w:lastRow="0" w:noHBand="0" w:noVBand="1" w:val="04A0"/>
      </w:tblPr>
      <w:tblGrid>
        <w:gridCol w:w="1440"/>
        <w:gridCol w:w="2520"/>
        <w:gridCol w:w="6840"/>
      </w:tblGrid>
      <w:tr>
        <w:tc>
          <w:tcPr>
            <w:tcW w:type="dxa" w:w="1440"/>
          </w:tcPr>
          <w:p>
            <w:r>
              <w:rPr>
                <w:b/>
              </w:rPr>
              <w:t>Version</w:t>
            </w:r>
          </w:p>
        </w:tc>
        <w:tc>
          <w:tcPr>
            <w:tcW w:type="dxa" w:w="2520"/>
          </w:tcPr>
          <w:p>
            <w:r>
              <w:rPr>
                <w:b/>
              </w:rPr>
              <w:t>Date</w:t>
            </w:r>
          </w:p>
        </w:tc>
        <w:tc>
          <w:tcPr>
            <w:tcW w:type="dxa" w:w="6840"/>
          </w:tcPr>
          <w:p>
            <w:r>
              <w:rPr>
                <w:b/>
              </w:rPr>
              <w:t>Summary of changes</w:t>
            </w:r>
          </w:p>
        </w:tc>
      </w:tr>
      <w:tr>
        <w:tc>
          <w:tcPr>
            <w:tcW w:type="dxa" w:w="1440"/>
          </w:tcPr>
          <w:p>
            <w:r>
              <w:t>1.0</w:t>
            </w:r>
          </w:p>
        </w:tc>
        <w:tc>
          <w:tcPr>
            <w:tcW w:type="dxa" w:w="2520"/>
          </w:tcPr>
          <w:p>
            <w:r>
              <w:rPr>
                <w:highlight w:val="yellow"/>
              </w:rPr>
              <w:t>[Date]</w:t>
            </w:r>
          </w:p>
        </w:tc>
        <w:tc>
          <w:tcPr>
            <w:tcW w:type="dxa" w:w="6840"/>
          </w:tcPr>
          <w:p>
            <w:r>
              <w:t>Initial version.</w:t>
            </w:r>
          </w:p>
        </w:tc>
      </w:tr>
    </w:tbl>
    <w:p>
      <w:pPr>
        <w:pStyle w:val="Heading1"/>
      </w:pPr>
      <w:r>
        <w:t>1.0 Purpose</w:t>
      </w:r>
    </w:p>
    <w:p>
      <w:r>
        <w:t xml:space="preserve">This policy defines how </w:t>
      </w:r>
      <w:r>
        <w:rPr>
          <w:highlight w:val="yellow"/>
        </w:rPr>
        <w:t>[Company Name]</w:t>
      </w:r>
      <w:r>
        <w:t xml:space="preserve"> ("the organization") builds and runs its Information Security Program. The program identifies and documents information assets (the organization's data and the systems that store and process it) and protects them against unauthorized access, disclosure, modification, or destruction.</w:t>
      </w:r>
    </w:p>
    <w:p>
      <w:r>
        <w:t>It sets the rules for the responsible use, storage, and transmission of the organization's information, and the responsibilities of the people who handle it. Its goal is to keep information confidential, keep it accurate and complete, and keep it available when needed.</w:t>
      </w:r>
    </w:p>
    <w:p>
      <w:r>
        <w:t>This policy is aligned with ISO/IEC 27001:2022 (including its 2024 amendment) and the NIST Cybersecurity Framework (CSF) 2.0. Following this policy reduces security risk. It helps the organization meet its legal, regulatory, and contractual obligations, and keep the trust of customers, employees, and business partners.</w:t>
      </w:r>
    </w:p>
    <w:p>
      <w:pPr>
        <w:pStyle w:val="Heading1"/>
      </w:pPr>
      <w:r>
        <w:t>2.0 Scope</w:t>
      </w:r>
    </w:p>
    <w:p>
      <w:r>
        <w:t>This policy applies to all of the organization's information and information systems, wherever the information is processed or stored, including when it is held by third-party vendors and service providers. Their obligations are set through contracts (see Section 3.9). This policy governs all employees, contractors, and any other authorized users who access, process, store, or transmit the organization's information.</w:t>
      </w:r>
    </w:p>
    <w:p>
      <w:pPr>
        <w:pStyle w:val="Heading1"/>
      </w:pPr>
      <w:r>
        <w:t>3.0 Policy Statements</w:t>
      </w:r>
    </w:p>
    <w:p>
      <w:r>
        <w:t>Throughout this policy and its supporting policies, a statement of what the organization or its people do is a requirement, even without "shall" or "must". Those words simply make a requirement explicit; "may" and "is acceptable" mark a permission. Where a requirement needs a planned deviation, Section 6.0 describes how to request an exception. Text in square brackets marks a decision to make when adopting this policy: a placeholder to fill in, a starting value to set, or a passage to review and then keep, adapt, or delete. Remove the brackets after each decision.</w:t>
      </w:r>
    </w:p>
    <w:p>
      <w:pPr>
        <w:pStyle w:val="Heading2"/>
      </w:pPr>
      <w:r>
        <w:t>3.1 Program Management</w:t>
      </w:r>
    </w:p>
    <w:p>
      <w:pPr>
        <w:pStyle w:val="ListBullet"/>
      </w:pPr>
      <w:r>
        <w:t>The organization shall establish, implement, and maintain an Information Security Program to protect its information assets.</w:t>
      </w:r>
    </w:p>
    <w:p>
      <w:pPr>
        <w:pStyle w:val="ListBullet"/>
      </w:pPr>
      <w:r>
        <w:t>Security practices shall follow recognized standards, including ISO/IEC 27001 and the NIST Cybersecurity Framework. They shall improve continually as threats change.</w:t>
      </w:r>
    </w:p>
    <w:p>
      <w:pPr>
        <w:pStyle w:val="ListBullet"/>
      </w:pPr>
      <w:r>
        <w:t>Executive Management shall set information security objectives. It shall review the program's performance against those objectives at least annually.</w:t>
      </w:r>
    </w:p>
    <w:p>
      <w:pPr>
        <w:pStyle w:val="ListBullet"/>
      </w:pPr>
      <w:r>
        <w:t>All employees and contractors shall read and acknowledge the security policies at onboarding and at least annually thereafter. One recorded acknowledgment covering the whole policy set satisfies this.</w:t>
      </w:r>
    </w:p>
    <w:p>
      <w:pPr>
        <w:pStyle w:val="ListBullet"/>
      </w:pPr>
      <w:r>
        <w:t>This policy shall be communicated to everyone it covers. Where appropriate, it shall also be made available on request to customers, auditors, and other interested parties (such as regulators and business partners).</w:t>
      </w:r>
    </w:p>
    <w:p>
      <w:pPr>
        <w:pStyle w:val="ListBullet"/>
      </w:pPr>
      <w:r>
        <w:t>Security roles and responsibilities shall be clearly defined and communicated (see Section 4.0).</w:t>
      </w:r>
    </w:p>
    <w:p>
      <w:pPr>
        <w:pStyle w:val="ListBullet"/>
      </w:pPr>
      <w:r>
        <w:t xml:space="preserve">Internal audits or assessments of the program shall be performed </w:t>
      </w:r>
      <w:r>
        <w:rPr>
          <w:highlight w:val="yellow"/>
        </w:rPr>
        <w:t>[at least annually]</w:t>
      </w:r>
      <w:r>
        <w:t>. Findings shall be fixed promptly. Audits shall be performed by someone who is not responsible for the controls (security measures) being audited, or their results shall be independently reviewed by someone who is not responsible for those controls, for example an external assessor.</w:t>
      </w:r>
    </w:p>
    <w:p>
      <w:pPr>
        <w:pStyle w:val="ListBullet"/>
      </w:pPr>
      <w:r>
        <w:t>The organization shall identify and record the legal, regulatory, and contractual requirements that apply to its information, and keep that record up to date.</w:t>
      </w:r>
    </w:p>
    <w:p>
      <w:pPr>
        <w:pStyle w:val="ListBullet"/>
      </w:pPr>
      <w:r>
        <w:t>The organization shall keep records that show its security requirements are being met, such as training completions, policy acknowledgments, audit results, and risk decisions.</w:t>
      </w:r>
    </w:p>
    <w:p>
      <w:pPr>
        <w:pStyle w:val="ListBullet"/>
      </w:pPr>
      <w:r>
        <w:t>The organization shall keep in contact with relevant authorities and industry security groups to stay informed of new threats. The Information Security Lead owns these contacts; subscribing to relevant advisories and alerts satisfies the duty.</w:t>
      </w:r>
    </w:p>
    <w:p>
      <w:pPr>
        <w:pStyle w:val="Heading2"/>
      </w:pPr>
      <w:r>
        <w:t>3.2 Risk Management</w:t>
      </w:r>
    </w:p>
    <w:p>
      <w:pPr>
        <w:pStyle w:val="ListBullet"/>
      </w:pPr>
      <w:r>
        <w:t xml:space="preserve">A documented risk assessment process shall identify and evaluate risks to information assets and decide how each one is handled. Treatment options include reducing the risk, avoiding it, transferring it (including insurance), or accepting it. Assessments shall be repeated at planned intervals, </w:t>
      </w:r>
      <w:r>
        <w:rPr>
          <w:highlight w:val="yellow"/>
        </w:rPr>
        <w:t xml:space="preserve">[at least annually]</w:t>
      </w:r>
      <w:r>
        <w:t xml:space="preserve">, and whenever significant changes are proposed or occur. The organization determines whether climate change is a relevant issue for its information security, and considers any climate-related requirements interested parties raise.</w:t>
      </w:r>
    </w:p>
    <w:p>
      <w:pPr>
        <w:pStyle w:val="ListBullet"/>
      </w:pPr>
      <w:r>
        <w:t>Executive Management shall define, in writing, how much risk the organization is willing to accept and what counts as a significant risk, incident, or change; when in doubt, treat it as significant.</w:t>
      </w:r>
    </w:p>
    <w:p>
      <w:pPr>
        <w:pStyle w:val="ListBullet"/>
      </w:pPr>
      <w:r>
        <w:t>The Information Security Lead (the role defined in Section 4.0) shall recommend how each significant risk is handled. Accepting a risk means deciding the organization will live with it rather than reduce, avoid, or transfer it. Only Executive Management may accept a significant risk on behalf of the organization. A risk below that threshold may be accepted by its owner or by the Information Security Lead. Acceptance does not waive a legal, regulatory, or contractual requirement. Every accepted risk shall be documented, assigned an owner, and reviewed at least annually.</w:t>
      </w:r>
    </w:p>
    <w:p>
      <w:pPr>
        <w:pStyle w:val="Heading2"/>
      </w:pPr>
      <w:r>
        <w:t>3.3 Asset and Data Protection</w:t>
      </w:r>
    </w:p>
    <w:p>
      <w:pPr>
        <w:pStyle w:val="ListBullet"/>
      </w:pPr>
      <w:r>
        <w:t xml:space="preserve">An up-to-date inventory of information assets shall be maintained. For each asset it shall record the owner, the classification, and whether a critical activity depends on it. The inventory shall be reviewed whenever assets are added, upgraded, or retired, and </w:t>
      </w:r>
      <w:r>
        <w:rPr>
          <w:highlight w:val="yellow"/>
        </w:rPr>
        <w:t>[at least annually]</w:t>
      </w:r>
      <w:r>
        <w:t>.</w:t>
      </w:r>
    </w:p>
    <w:p>
      <w:pPr>
        <w:pStyle w:val="ListBullet"/>
      </w:pPr>
      <w:r>
        <w:t>Information shall be classified by sensitivity and handled according to its classification and to legal, regulatory, and contractual requirements.</w:t>
      </w:r>
    </w:p>
    <w:p>
      <w:pPr>
        <w:pStyle w:val="ListBullet"/>
      </w:pPr>
      <w:r>
        <w:t>Records and data shall be kept only as long as business, legal, or regulatory needs require. They shall then be disposed of securely, including securely erasing or destroying storage media.</w:t>
      </w:r>
    </w:p>
    <w:p>
      <w:pPr>
        <w:pStyle w:val="ListBullet"/>
      </w:pPr>
      <w:r>
        <w:t>Sensitive information shall be encrypted in transit and at rest (while moving over networks and while stored) using current, industry-accepted methods. The encryption keys shall be protected and managed carefully.</w:t>
      </w:r>
    </w:p>
    <w:p>
      <w:pPr>
        <w:pStyle w:val="ListBullet"/>
      </w:pPr>
      <w:r>
        <w:t xml:space="preserve">Organization information shall be entered only into AI tools and other online services the organization has approved (see Section 3.9), and only for the sensitivity levels the approval covers; the AI Acceptable Use Policy sets the detailed rules where the organization has one. Where the organization builds AI features or automates decisions with AI, the risks are assessed under Section 3.2.</w:t>
      </w:r>
    </w:p>
    <w:p>
      <w:pPr>
        <w:pStyle w:val="Heading2"/>
      </w:pPr>
      <w:r>
        <w:t>3.4 Access Control</w:t>
      </w:r>
    </w:p>
    <w:p>
      <w:pPr>
        <w:pStyle w:val="ListBullet"/>
      </w:pPr>
      <w:r>
        <w:t>Access to systems and data shall be limited to what each person needs to do their job.</w:t>
      </w:r>
    </w:p>
    <w:p>
      <w:pPr>
        <w:pStyle w:val="ListBullet"/>
      </w:pPr>
      <w:r>
        <w:t>Access shall be granted through a documented process, reviewed periodically, and removed promptly when no longer needed. When employment or a contract ends, access shall be removed immediately.</w:t>
      </w:r>
    </w:p>
    <w:p>
      <w:pPr>
        <w:pStyle w:val="ListBullet"/>
      </w:pPr>
      <w:r>
        <w:t>Signing in with a second proof of identity beyond the password (multi-factor authentication, MFA) shall be required for remote access, administrator access, and access to sensitive systems.</w:t>
      </w:r>
    </w:p>
    <w:p>
      <w:pPr>
        <w:pStyle w:val="ListBullet"/>
      </w:pPr>
      <w:r>
        <w:t>Administrator accounts shall be kept to a minimum, assigned to named individuals, and monitored.</w:t>
      </w:r>
    </w:p>
    <w:p>
      <w:pPr>
        <w:pStyle w:val="ListBullet"/>
      </w:pPr>
      <w:r>
        <w:t>Duties that conflict, such as requesting access and approving it, shall be assigned to different people. Where the organization is too small to separate the duties, someone who is not performing them shall monitor the work, or the work shall be reviewed periodically by an independent party, for example an external assessor.</w:t>
      </w:r>
    </w:p>
    <w:p>
      <w:pPr>
        <w:pStyle w:val="Heading2"/>
      </w:pPr>
      <w:r>
        <w:t>3.5 Training and Awareness</w:t>
      </w:r>
    </w:p>
    <w:p>
      <w:pPr>
        <w:pStyle w:val="ListBullet"/>
      </w:pPr>
      <w:r>
        <w:t>Security awareness training shall be delivered to employees, contractors, and other relevant people at onboarding and at least annually thereafter. People in roles with special security responsibilities shall receive training suited to those roles.</w:t>
      </w:r>
    </w:p>
    <w:p>
      <w:pPr>
        <w:pStyle w:val="ListBullet"/>
      </w:pPr>
      <w:r>
        <w:t>Employees, contractors, and third parties with access to sensitive information shall sign confidentiality or non-disclosure agreements. These agreements shall be documented and reviewed regularly.</w:t>
      </w:r>
    </w:p>
    <w:p>
      <w:pPr>
        <w:pStyle w:val="Heading2"/>
      </w:pPr>
      <w:r>
        <w:t>3.6 Operations and Network Security</w:t>
      </w:r>
    </w:p>
    <w:p>
      <w:pPr>
        <w:pStyle w:val="ListBullet"/>
      </w:pPr>
      <w:r>
        <w:t>Malware protection and threat detection tools (endpoint protection, including endpoint detection and response, or EDR) shall be installed and kept current on workstations, servers, and other system components. Network protections such as firewalls shall also be in place.</w:t>
      </w:r>
    </w:p>
    <w:p>
      <w:pPr>
        <w:pStyle w:val="ListBullet"/>
      </w:pPr>
      <w:r>
        <w:t>Controls shall be in place to prevent, detect, and recover from malware and phishing attacks.</w:t>
      </w:r>
    </w:p>
    <w:p>
      <w:pPr>
        <w:pStyle w:val="ListBullet"/>
      </w:pPr>
      <w:r>
        <w:t>Security events shall be logged and monitored. Logs shall be protected from tampering and kept according to the organization's retention requirements.</w:t>
      </w:r>
    </w:p>
    <w:p>
      <w:pPr>
        <w:pStyle w:val="ListBullet"/>
      </w:pPr>
      <w:r>
        <w:t>Changes to systems shall follow a change management process.</w:t>
      </w:r>
    </w:p>
    <w:p>
      <w:pPr>
        <w:pStyle w:val="ListBullet"/>
      </w:pPr>
      <w:r>
        <w:t>Vulnerabilities shall be identified and fixed within timeframes the organization defines.</w:t>
      </w:r>
    </w:p>
    <w:p>
      <w:pPr>
        <w:pStyle w:val="ListBullet"/>
      </w:pPr>
      <w:r>
        <w:t>Software and systems developed by or for the organization shall follow secure development practices, with security addressed from design through deployment.</w:t>
      </w:r>
    </w:p>
    <w:p>
      <w:pPr>
        <w:pStyle w:val="Heading2"/>
      </w:pPr>
      <w:r>
        <w:t>3.7 Physical Security</w:t>
      </w:r>
    </w:p>
    <w:p>
      <w:pPr>
        <w:pStyle w:val="ListBullet"/>
      </w:pPr>
      <w:r>
        <w:t>Physical access to facilities and equipment that hold the organization's information shall be limited to authorized people. Those facilities and equipment shall also be protected against hazards such as fire, water, and theft.</w:t>
      </w:r>
    </w:p>
    <w:p>
      <w:pPr>
        <w:pStyle w:val="Heading2"/>
      </w:pPr>
      <w:r>
        <w:t>3.8 Remote Work and Mobile Devices</w:t>
      </w:r>
    </w:p>
    <w:p>
      <w:pPr>
        <w:pStyle w:val="ListBullet"/>
      </w:pPr>
      <w:r>
        <w:t>Remote work and the use of mobile or personal devices for business shall follow documented requirements that protect information wherever it is used.</w:t>
      </w:r>
    </w:p>
    <w:p>
      <w:pPr>
        <w:pStyle w:val="Heading2"/>
      </w:pPr>
      <w:r>
        <w:t>3.9 Vendors and Service Providers</w:t>
      </w:r>
    </w:p>
    <w:p>
      <w:pPr>
        <w:pStyle w:val="ListBullet"/>
      </w:pPr>
      <w:r>
        <w:t>Vendors and service providers shall be assessed for security risk before they are engaged. They shall be managed throughout the relationship. The software the organization runs, and the update channels that deliver it, are part of this vendor management (the software supply chain). Security requirements matching the level of risk shall be written into their contracts.</w:t>
      </w:r>
    </w:p>
    <w:p>
      <w:pPr>
        <w:pStyle w:val="Heading2"/>
      </w:pPr>
      <w:r>
        <w:t>3.10 Security Incidents</w:t>
      </w:r>
    </w:p>
    <w:p>
      <w:pPr>
        <w:pStyle w:val="ListBullet"/>
      </w:pPr>
      <w:r>
        <w:t>A documented process shall identify, contain, investigate, and resolve security incidents, and capture lessons learned. The organization shall designate an executive-approved representative to report incidents to outside parties when necessary (see the Incident Response Policy). The incident response process shall be exercised at least annually.</w:t>
      </w:r>
    </w:p>
    <w:p>
      <w:pPr>
        <w:pStyle w:val="Heading2"/>
      </w:pPr>
      <w:r>
        <w:t>3.11 Business Continuity and Backups</w:t>
      </w:r>
    </w:p>
    <w:p>
      <w:pPr>
        <w:pStyle w:val="ListBullet"/>
      </w:pPr>
      <w:r>
        <w:t>Business continuity plans and backups shall be reviewed and tested at least annually, to make sure that after a disruption the organization can keep operating and recover its data.</w:t>
      </w:r>
    </w:p>
    <w:p>
      <w:pPr>
        <w:pStyle w:val="Heading1"/>
      </w:pPr>
      <w:r>
        <w:t>4.0 Roles and Responsibilities</w:t>
      </w:r>
    </w:p>
    <w:p>
      <w:r>
        <w:t>The organization shall designate a senior leader responsible for information security, referred to in this policy as the Information Security Lead. In some organizations this is a dedicated security executive; in others it is a leader who also holds another role, such as a head of IT or engineering. One person may hold more than one role, including Executive Management and Information Security Lead together; decisions this policy reserves to Executive Management are then made in that capacity and documented. Executive Management shall also name a deputy who assumes the Information Security Lead's duties when the Lead is unavailable. The deputy may be a qualified external provider. Where the organization is too small to name anyone, Executive Management holds the duty itself and records that decision.</w:t>
      </w:r>
    </w:p>
    <w:p>
      <w:pPr>
        <w:pStyle w:val="Heading2"/>
      </w:pPr>
      <w:r>
        <w:t>4.1 Executive Management</w:t>
      </w:r>
    </w:p>
    <w:p>
      <w:pPr>
        <w:pStyle w:val="ListBullet"/>
      </w:pPr>
      <w:r>
        <w:t>Approve this policy and changes to it.</w:t>
      </w:r>
    </w:p>
    <w:p>
      <w:pPr>
        <w:pStyle w:val="ListBullet"/>
      </w:pPr>
      <w:r>
        <w:t>Set the program's scope and objectives so they match business needs.</w:t>
      </w:r>
    </w:p>
    <w:p>
      <w:pPr>
        <w:pStyle w:val="ListBullet"/>
      </w:pPr>
      <w:r>
        <w:t>Provide the funding and staffing the program requires.</w:t>
      </w:r>
    </w:p>
    <w:p>
      <w:pPr>
        <w:pStyle w:val="ListBullet"/>
      </w:pPr>
      <w:r>
        <w:t>Review the Information Security Lead's reports on risks, incidents, and program performance.</w:t>
      </w:r>
    </w:p>
    <w:p>
      <w:pPr>
        <w:pStyle w:val="ListBullet"/>
      </w:pPr>
      <w:r>
        <w:t>Hold the Information Security Lead accountable for results.</w:t>
      </w:r>
    </w:p>
    <w:p>
      <w:pPr>
        <w:pStyle w:val="ListBullet"/>
      </w:pPr>
      <w:r>
        <w:t>Decide whether to accept significant risks.</w:t>
      </w:r>
    </w:p>
    <w:p>
      <w:pPr>
        <w:pStyle w:val="ListBullet"/>
      </w:pPr>
      <w:r>
        <w:t>Approve exceptions that carry significant risk.</w:t>
      </w:r>
    </w:p>
    <w:p>
      <w:pPr>
        <w:pStyle w:val="ListBullet"/>
      </w:pPr>
      <w:r>
        <w:t>Approve business continuity and disaster recovery plans.</w:t>
      </w:r>
    </w:p>
    <w:p>
      <w:pPr>
        <w:pStyle w:val="ListBullet"/>
      </w:pPr>
      <w:r>
        <w:t>Report security and continuity status to the Board of Directors or owners.</w:t>
      </w:r>
    </w:p>
    <w:p>
      <w:pPr>
        <w:pStyle w:val="ListBullet"/>
      </w:pPr>
      <w:r>
        <w:t>Decide whether the organization carries cyber insurance, and review the coverage and the security requirements it imposes at least annually.</w:t>
      </w:r>
    </w:p>
    <w:p>
      <w:pPr>
        <w:pStyle w:val="Heading2"/>
      </w:pPr>
      <w:r>
        <w:t>4.2 Information Security Lead</w:t>
      </w:r>
    </w:p>
    <w:p>
      <w:pPr>
        <w:pStyle w:val="ListBullet"/>
      </w:pPr>
      <w:r>
        <w:t>Run the Information Security Program day to day.</w:t>
      </w:r>
    </w:p>
    <w:p>
      <w:pPr>
        <w:pStyle w:val="ListBullet"/>
      </w:pPr>
      <w:r>
        <w:t>Develop and maintain security policies, and bring them to Executive Management for approval.</w:t>
      </w:r>
    </w:p>
    <w:p>
      <w:pPr>
        <w:pStyle w:val="ListBullet"/>
      </w:pPr>
      <w:r>
        <w:t>Lead risk assessments.</w:t>
      </w:r>
    </w:p>
    <w:p>
      <w:pPr>
        <w:pStyle w:val="ListBullet"/>
      </w:pPr>
      <w:r>
        <w:t>Maintain the record of identified risks and recommend how each risk is treated.</w:t>
      </w:r>
    </w:p>
    <w:p>
      <w:pPr>
        <w:pStyle w:val="ListBullet"/>
      </w:pPr>
      <w:r>
        <w:t>Oversee security operations, including monitoring, vulnerability management, and the security configuration of systems.</w:t>
      </w:r>
    </w:p>
    <w:p>
      <w:pPr>
        <w:pStyle w:val="ListBullet"/>
      </w:pPr>
      <w:r>
        <w:t>Lead the response to security incidents and report significant incidents to Executive Management.</w:t>
      </w:r>
    </w:p>
    <w:p>
      <w:pPr>
        <w:pStyle w:val="ListBullet"/>
      </w:pPr>
      <w:r>
        <w:t>Develop and test business continuity and disaster recovery plans.</w:t>
      </w:r>
    </w:p>
    <w:p>
      <w:pPr>
        <w:pStyle w:val="ListBullet"/>
      </w:pPr>
      <w:r>
        <w:t>Run the security awareness training program.</w:t>
      </w:r>
    </w:p>
    <w:p>
      <w:pPr>
        <w:pStyle w:val="ListBullet"/>
      </w:pPr>
      <w:r>
        <w:t>Review the security of vendors and service providers.</w:t>
      </w:r>
    </w:p>
    <w:p>
      <w:pPr>
        <w:pStyle w:val="ListBullet"/>
      </w:pPr>
      <w:r>
        <w:t>Maintain the central record of exceptions (see Section 6.0).</w:t>
      </w:r>
    </w:p>
    <w:p>
      <w:pPr>
        <w:pStyle w:val="ListBullet"/>
      </w:pPr>
      <w:r>
        <w:t xml:space="preserve">Report on the program's status </w:t>
      </w:r>
      <w:r>
        <w:rPr>
          <w:highlight w:val="yellow"/>
        </w:rPr>
        <w:t xml:space="preserve">[at least quarterly]</w:t>
      </w:r>
      <w:r>
        <w:t xml:space="preserve">; where one person is both Executive Management and the Information Security Lead, the report is a written record kept under Section 3.1.</w:t>
      </w:r>
    </w:p>
    <w:p>
      <w:pPr>
        <w:pStyle w:val="Heading2"/>
      </w:pPr>
      <w:r>
        <w:t>4.3 Security Operations</w:t>
      </w:r>
    </w:p>
    <w:p>
      <w:r>
        <w:t>The organization shall assign the security operations function to an internal team or a qualified service provider; a small organization may assign it to the Information Security Lead. The function reports to the Information Security Lead. Where a policy in this set says "IT or security operations", either may act; "security operations, with IT" names security operations as the owner, assisted by IT.</w:t>
      </w:r>
    </w:p>
    <w:p>
      <w:pPr>
        <w:pStyle w:val="ListBullet"/>
      </w:pPr>
      <w:r>
        <w:t>Deploy, configure, and manage the security tools that enforce this policy across workstations, servers, and cloud services.</w:t>
      </w:r>
    </w:p>
    <w:p>
      <w:pPr>
        <w:pStyle w:val="ListBullet"/>
      </w:pPr>
      <w:r>
        <w:t>Monitor security alerts and logs, investigate suspicious activity, and escalate threats to the Information Security Lead.</w:t>
      </w:r>
    </w:p>
    <w:p>
      <w:pPr>
        <w:pStyle w:val="ListBullet"/>
      </w:pPr>
      <w:r>
        <w:t>Apply approved security configurations and keep them current.</w:t>
      </w:r>
    </w:p>
    <w:p>
      <w:pPr>
        <w:pStyle w:val="ListBullet"/>
      </w:pPr>
      <w:r>
        <w:t>Investigate and document security incidents and support the response.</w:t>
      </w:r>
    </w:p>
    <w:p>
      <w:pPr>
        <w:pStyle w:val="ListBullet"/>
      </w:pPr>
      <w:r>
        <w:t>Recommend improvements and new security technologies.</w:t>
      </w:r>
    </w:p>
    <w:p>
      <w:pPr>
        <w:pStyle w:val="Heading2"/>
      </w:pPr>
      <w:r>
        <w:t>4.4 Human Resources</w:t>
      </w:r>
    </w:p>
    <w:p>
      <w:r>
        <w:t xml:space="preserve">Where the organization has no Human Resources function, these duties are assigned to </w:t>
      </w:r>
      <w:r>
        <w:rPr>
          <w:highlight w:val="yellow"/>
        </w:rPr>
        <w:t>[a named manager or the Information Security Lead]</w:t>
      </w:r>
      <w:r>
        <w:t>.</w:t>
      </w:r>
    </w:p>
    <w:p>
      <w:pPr>
        <w:pStyle w:val="ListBullet"/>
      </w:pPr>
      <w:r>
        <w:t>Where local law permits, carry out background checks, screening, and reference checks for security-sensitive roles (the Information Security Lead designates which roles qualify), and record that each required check was completed.</w:t>
      </w:r>
    </w:p>
    <w:p>
      <w:pPr>
        <w:pStyle w:val="ListBullet"/>
      </w:pPr>
      <w:r>
        <w:t>Collect and keep policy acknowledgments from every employee and contractor at onboarding and at least annually thereafter.</w:t>
      </w:r>
    </w:p>
    <w:p>
      <w:pPr>
        <w:pStyle w:val="ListBullet"/>
      </w:pPr>
      <w:r>
        <w:t>Track required annual training.</w:t>
      </w:r>
    </w:p>
    <w:p>
      <w:pPr>
        <w:pStyle w:val="ListBullet"/>
      </w:pPr>
      <w:r>
        <w:t>Together with management, apply the disciplinary process when security policies are violated.</w:t>
      </w:r>
    </w:p>
    <w:p>
      <w:pPr>
        <w:pStyle w:val="ListBullet"/>
      </w:pPr>
      <w:r>
        <w:t>Manage offboarding when someone leaves: collect organization-issued equipment, and coordinate with IT and security operations so that system access is removed immediately.</w:t>
      </w:r>
    </w:p>
    <w:p>
      <w:pPr>
        <w:pStyle w:val="Heading2"/>
      </w:pPr>
      <w:r>
        <w:t>4.5 All Employees and Contractors</w:t>
      </w:r>
    </w:p>
    <w:p>
      <w:pPr>
        <w:pStyle w:val="ListBullet"/>
      </w:pPr>
      <w:r>
        <w:t>Follow this policy and the applicable supporting policies.</w:t>
      </w:r>
    </w:p>
    <w:p>
      <w:pPr>
        <w:pStyle w:val="ListBullet"/>
      </w:pPr>
      <w:r>
        <w:t>Complete required security training.</w:t>
      </w:r>
    </w:p>
    <w:p>
      <w:pPr>
        <w:pStyle w:val="ListBullet"/>
      </w:pPr>
      <w:r>
        <w:t>Protect assigned accounts, passwords, and devices, and never share credentials.</w:t>
      </w:r>
    </w:p>
    <w:p>
      <w:pPr>
        <w:pStyle w:val="ListBullet"/>
      </w:pPr>
      <w:r>
        <w:t>Report suspected security incidents and policy violations promptly, using the contacts in Appendix 1.</w:t>
      </w:r>
    </w:p>
    <w:p>
      <w:pPr>
        <w:pStyle w:val="Heading1"/>
      </w:pPr>
      <w:r>
        <w:t>5.0 Policy Review and Updates</w:t>
      </w:r>
    </w:p>
    <w:p>
      <w:r>
        <w:t>This policy and its supporting policies shall be reviewed at least annually, and sooner when the business, technology, regulations, or the threat environment change significantly. The Information Security Lead starts the review and gathers input from security operations, Human Resources, and Executive Management. Executive Management reviews and approves changes before they take effect.</w:t>
      </w:r>
    </w:p>
    <w:p>
      <w:r>
        <w:t>Employees and other affected people will be told about significant changes.</w:t>
      </w:r>
    </w:p>
    <w:p>
      <w:pPr>
        <w:pStyle w:val="Heading1"/>
      </w:pPr>
      <w:r>
        <w:t>6.0 Exceptions</w:t>
      </w:r>
    </w:p>
    <w:p>
      <w:r>
        <w:t>Any planned deviation from this policy or its supporting policies requires a documented exception. A gap that is discovered rather than planned is reported and handled first under Section 7.0; if it must stay open afterward, an exception is requested promptly. A deviation someone chose to make without approval, or a discovered gap kept outside this process, is a violation (see Section 8.0). Requests shall be submitted in writing to the Information Security Lead and shall describe the business reason, what the exception covers, how long it is needed, and any temporary safeguards that reduce the risk.</w:t>
      </w:r>
    </w:p>
    <w:p>
      <w:r>
        <w:t>The Information Security Lead assesses the risk of each request and approves or denies it. If the Information Security Lead is the requester, Executive Management approves or denies the request. Exceptions that carry significant risk also require Executive Management approval. Every exception shall have an end date no more than twelve months out. It shall be recorded in the central record of exceptions and reviewed before any renewal. When an exception expires, either the exception is renewed through the same process or the deviation is fixed. A second renewal of the same exception requires Executive Management approval, whatever its risk level; repeated renewal is a sign the deviation should be fixed or formally accepted as a risk under Section 3.2.</w:t>
      </w:r>
    </w:p>
    <w:p>
      <w:pPr>
        <w:pStyle w:val="Heading1"/>
      </w:pPr>
      <w:r>
        <w:t>7.0 Reporting Security Incidents and Concerns</w:t>
      </w:r>
    </w:p>
    <w:p>
      <w:r>
        <w:t>Everyone covered by this policy shall report suspected security incidents, policy violations, and other security concerns promptly through the contacts in Appendix 1. A report may also be made to any manager, who shall pass it to those contacts. A concern that involves the Information Security Lead, or anyone named in those contacts, goes instead directly to Executive Management; a manager who receives such a report passes it there. Incidents are handled under the organization's Incident Response Policy. Security operations investigates first; where no separate function exists, the Information Security Lead investigates. Significant incidents are escalated to the Information Security Lead. Executive Management is informed whenever an incident may have legal, regulatory, or serious business consequences.</w:t>
      </w:r>
    </w:p>
    <w:p>
      <w:r>
        <w:t>Failing to report a security incident you know about or reasonably suspect is itself a policy violation (see Section 8.0).</w:t>
      </w:r>
    </w:p>
    <w:p>
      <w:r>
        <w:rPr>
          <w:highlight w:val="yellow"/>
        </w:rPr>
        <w:t xml:space="preserve">[No one is punished for the act of making a good-faith report; the report itself is never the offense. An honest mistake reported promptly is treated more leniently than one concealed, and a late report is treated more leniently than none. Any discipline for the underlying conduct follows Section 8.0.]</w:t>
      </w:r>
    </w:p>
    <w:p>
      <w:r>
        <w:t>Workplace concerns that are not about information security, such as harassment, health and safety, or performance issues, are handled under the organization's employee handbook and Human Resources policies.</w:t>
      </w:r>
    </w:p>
    <w:p>
      <w:pPr>
        <w:pStyle w:val="Heading1"/>
      </w:pPr>
      <w:r>
        <w:t>8.0 Violations and Disciplinary Action</w:t>
      </w:r>
    </w:p>
    <w:p>
      <w:r>
        <w:t>Anyone who violates the organization's information security policies can face disciplinary action, up to and including termination of employment or contract, and legal action where applicable.</w:t>
      </w:r>
    </w:p>
    <w:p>
      <w:r>
        <w:t>The response to a violation will depend on its severity, its impact on the organization's security, and any legal or regulatory requirements. The organization reserves the right to investigate suspected violations and act to protect its systems, data, and operations.</w:t>
      </w:r>
    </w:p>
    <w:p>
      <w:pPr>
        <w:pStyle w:val="Heading1"/>
      </w:pPr>
      <w:r>
        <w:t>9.0 Related Policies and Standards</w:t>
      </w:r>
    </w:p>
    <w:p>
      <w:r>
        <w:t>This policy is the top-level document of the organization's information security policy set. Supporting policies add detail and may set stricter rules; a stricter rule is not a conflict. If a supporting policy contradicts this policy, this policy prevails. The Information Security Lead decides whether two rules actually conflict or one is simply stricter. Adopt, rename, or combine the documents in this section to fit the organization; treat a document that does not exist yet as a roadmap item. This policy's requirements apply even before a supporting document exists.</w:t>
      </w:r>
    </w:p>
    <w:p>
      <w:r>
        <w:t>Most organizations need these core supporting documents: an Acceptable Use Policy; an Access Control Policy; an Incident Response Policy; a Business Continuity &amp; Disaster Recovery Plan; a Vendor Risk Management Policy; and a Data Handling Policy covering classification, retention, and disposal.</w:t>
      </w:r>
    </w:p>
    <w:p>
      <w:r>
        <w:t xml:space="preserve">Further topics each have their own supporting document: an Encryption Policy; a Change Management Policy; a Vulnerability Management Policy; a Logging and Monitoring Policy; an Email Security Policy; a Remote Work &amp; Mobile Device Policy; a Physical and Environmental Security Policy; a Secure Development Policy; and, where the organization uses AI tools, an AI Acceptable Use Policy. Smaller organizations often fold these topics into the core documents, or combine them into a single technical security standard.</w:t>
      </w:r>
    </w:p>
    <w:p>
      <w:r>
        <w:t xml:space="preserve">For a cyber insurance application, the core documents plus the Vulnerability Management, Remote Work &amp; Mobile Device, and Email Security policies cover the questions insurers most often ask; preparing for a SOC 2 audit (an independent auditor's report on the organization's security controls) adds the Change Management Policy.</w:t>
      </w:r>
    </w:p>
    <w:p>
      <w:r>
        <w:t xml:space="preserve">The policy set assumes primarily cloud-hosted services. An organization that runs its own office network or servers extends Section 3.6 with rules for that network (wireless access, guest separation, and firewall changes) as a roadmap item.</w:t>
      </w:r>
    </w:p>
    <w:p>
      <w:r>
        <w:t>The statements in Section 3.0 span all four control groups of ISO/IEC 27001:2022 Annex A, the standard's list of security controls: organizational, people, physical, and technological. At a policy level, they also address the six functions of the NIST Cybersecurity Framework 2.0: Govern, Identify, Protect, Detect, Respond, and Recover. Organizations that want a detailed catalog of individual controls can draw on the CIS Critical Security Controls or NIST Special Publication (SP) 800-53. This mapping shows where the policy meets recognized good practice. It is not a certification, and adopting the policy set satisfies no legal, regulatory, or contractual obligation on its own. The organization still identifies the requirements that apply to it and confirms how it meets them (Section 3.1).</w:t>
      </w:r>
    </w:p>
    <w:p>
      <w:pPr>
        <w:pStyle w:val="Heading1"/>
      </w:pPr>
      <w:r>
        <w:t>Appendix 1: Incident Reporting Contacts</w:t>
      </w:r>
    </w:p>
    <w:p>
      <w:r>
        <w:t>Complete this table before adoption.</w:t>
      </w:r>
    </w:p>
    <w:tbl>
      <w:tblPr>
        <w:tblStyle w:val="TableGrid"/>
        <w:tblW w:type="auto" w:w="0"/>
        <w:tblLook w:firstColumn="1" w:firstRow="1" w:lastColumn="0" w:lastRow="0" w:noHBand="0" w:noVBand="1" w:val="04A0"/>
      </w:tblPr>
      <w:tblGrid>
        <w:gridCol w:w="2700"/>
        <w:gridCol w:w="2700"/>
        <w:gridCol w:w="2700"/>
        <w:gridCol w:w="2700"/>
      </w:tblGrid>
      <w:tr>
        <w:tc>
          <w:tcPr>
            <w:tcW w:type="dxa" w:w="2700"/>
          </w:tcPr>
          <w:p>
            <w:r>
              <w:rPr>
                <w:b/>
              </w:rPr>
              <w:t>Category</w:t>
            </w:r>
          </w:p>
        </w:tc>
        <w:tc>
          <w:tcPr>
            <w:tcW w:type="dxa" w:w="2700"/>
          </w:tcPr>
          <w:p>
            <w:r>
              <w:rPr>
                <w:b/>
              </w:rPr>
              <w:t>Contact (person or team)</w:t>
            </w:r>
          </w:p>
        </w:tc>
        <w:tc>
          <w:tcPr>
            <w:tcW w:type="dxa" w:w="2700"/>
          </w:tcPr>
          <w:p>
            <w:r>
              <w:rPr>
                <w:b/>
              </w:rPr>
              <w:t>Email Address</w:t>
            </w:r>
          </w:p>
        </w:tc>
        <w:tc>
          <w:tcPr>
            <w:tcW w:type="dxa" w:w="2700"/>
          </w:tcPr>
          <w:p>
            <w:r>
              <w:rPr>
                <w:b/>
              </w:rPr>
              <w:t>Phone Number</w:t>
            </w:r>
          </w:p>
        </w:tc>
      </w:tr>
      <w:tr>
        <w:tc>
          <w:tcPr>
            <w:tcW w:type="dxa" w:w="2700"/>
          </w:tcPr>
          <w:p>
            <w:r>
              <w:t>Security incident reporting</w:t>
            </w:r>
          </w:p>
        </w:tc>
        <w:tc>
          <w:tcPr>
            <w:tcW w:type="dxa" w:w="2700"/>
          </w:tcPr>
          <w:p/>
        </w:tc>
        <w:tc>
          <w:tcPr>
            <w:tcW w:type="dxa" w:w="2700"/>
          </w:tcPr>
          <w:p/>
        </w:tc>
        <w:tc>
          <w:tcPr>
            <w:tcW w:type="dxa" w:w="2700"/>
          </w:tcPr>
          <w:p/>
        </w:tc>
      </w:tr>
      <w:tr>
        <w:tc>
          <w:tcPr>
            <w:tcW w:type="dxa" w:w="2700"/>
          </w:tcPr>
          <w:p>
            <w:r>
              <w:t>Policy violation reporting</w:t>
            </w:r>
          </w:p>
        </w:tc>
        <w:tc>
          <w:tcPr>
            <w:tcW w:type="dxa" w:w="2700"/>
          </w:tcPr>
          <w:p/>
        </w:tc>
        <w:tc>
          <w:tcPr>
            <w:tcW w:type="dxa" w:w="2700"/>
          </w:tcPr>
          <w:p/>
        </w:tc>
        <w:tc>
          <w:tcPr>
            <w:tcW w:type="dxa" w:w="2700"/>
          </w:tcPr>
          <w:p/>
        </w:tc>
      </w:tr>
      <w:tr>
        <w:tc>
          <w:tcPr>
            <w:tcW w:type="dxa" w:w="2700"/>
          </w:tcPr>
          <w:p>
            <w:r>
              <w:t>General security questions</w:t>
            </w:r>
          </w:p>
        </w:tc>
        <w:tc>
          <w:tcPr>
            <w:tcW w:type="dxa" w:w="2700"/>
          </w:tcPr>
          <w:p/>
        </w:tc>
        <w:tc>
          <w:tcPr>
            <w:tcW w:type="dxa" w:w="2700"/>
          </w:tcPr>
          <w:p/>
        </w:tc>
        <w:tc>
          <w:tcPr>
            <w:tcW w:type="dxa" w:w="2700"/>
          </w:tcPr>
          <w:p/>
        </w:tc>
      </w:tr>
      <w:tr>
        <w:tc>
          <w:tcPr>
            <w:tcW w:type="dxa" w:w="2700"/>
          </w:tcPr>
          <w:p>
            <w:r>
              <w:t>Emergency services</w:t>
            </w:r>
          </w:p>
        </w:tc>
        <w:tc>
          <w:tcPr>
            <w:tcW w:type="dxa" w:w="2700"/>
          </w:tcPr>
          <w:p/>
        </w:tc>
        <w:tc>
          <w:tcPr>
            <w:tcW w:type="dxa" w:w="2700"/>
          </w:tcPr>
          <w:p/>
        </w:tc>
        <w:tc>
          <w:tcPr>
            <w:tcW w:type="dxa" w:w="2700"/>
          </w:tcPr>
          <w:p>
            <w:r>
              <w:rPr>
                <w:highlight w:val="yellow"/>
              </w:rPr>
              <w:t>[Local emergency number, e.g., 911]</w:t>
            </w:r>
          </w:p>
        </w:tc>
      </w:tr>
    </w:tbl>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Information Security Policy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2902</Words>
  <Characters>17081</Characters>
  <DocSecurity>0</DocSecurity>
  <Lines>179</Lines>
  <Paragraphs>142</Paragraphs>
  <ScaleCrop>false</ScaleCrop>
  <HeadingPairs>
    <vt:vector size="2" baseType="variant">
      <vt:variant>
        <vt:lpstr>Title</vt:lpstr>
      </vt:variant>
      <vt:variant>
        <vt:i4>1</vt:i4>
      </vt:variant>
    </vt:vector>
  </HeadingPairs>
  <TitlesOfParts>
    <vt:vector size="1" baseType="lpstr">
      <vt:lpstr>Information Security Policy</vt:lpstr>
    </vt:vector>
  </TitlesOfParts>
  <Manager/>
  <Company>anoBytes Technology Solutions LLC</Company>
  <LinksUpToDate>false</LinksUpToDate>
  <CharactersWithSpaces>19831</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Information Security Policy</dc:title>
  <dc:subject>Information security policy template</dc:subject>
  <dc:creator>Nelson Pereira, anoBytes Technology Solutions LLC</dc:creator>
  <cp:keywords>risk management, information security program, security policies, supporting policies, information assets, security awareness training, internal audit, edr, cis critical security controls, interested parties, 800-53, soc 2, endpoint detection and response</cp:keywords>
  <dc:description>The foundation of our security policy set: scope, risk, roles, exceptions, and the reporting duties every other policy points back to. Fill in the basics, then tailor it to your industry, regulations, and risks. Free to adapt for your organization.</dc:description>
  <cp:lastModifiedBy/>
  <cp:revision>1</cp:revision>
  <dcterms:created xsi:type="dcterms:W3CDTF">2026-07-14T00:00:00Z</dcterms:created>
  <dcterms:modified xsi:type="dcterms:W3CDTF">2026-08-06T00:00:00Z</dcterms:modified>
  <cp:category>Template</cp:category>
</cp:coreProperties>
</file>