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 xml:space="preserve">Logging and Monitoring Policy</w:t>
      </w:r>
    </w:p>
    <w:p>
      <w:r>
        <w:rPr>
          <w:b/>
        </w:rPr>
        <w:t xml:space="preserve">Document Control</w:t>
      </w:r>
    </w:p>
    <w:tbl>
      <w:tblPr>
        <w:tblStyle w:val="TableGrid"/>
        <w:tblW w:type="auto" w:w="0"/>
        <w:tblLook w:firstColumn="1" w:firstRow="1" w:lastColumn="0" w:lastRow="0" w:noHBand="0" w:noVBand="1" w:val="04A0"/>
      </w:tblPr>
      <w:tblGrid>
        <w:gridCol w:w="3600"/>
        <w:gridCol w:w="7200"/>
      </w:tblGrid>
      <w:tr>
        <w:tc>
          <w:tcPr>
            <w:tcW w:type="dxa" w:w="3600"/>
          </w:tcPr>
          <w:p>
            <w:r>
              <w:rPr>
                <w:b/>
              </w:rPr>
              <w:t xml:space="preserve">Document title</w:t>
            </w:r>
          </w:p>
        </w:tc>
        <w:tc>
          <w:tcPr>
            <w:tcW w:type="dxa" w:w="7200"/>
          </w:tcPr>
          <w:p>
            <w:r>
              <w:t xml:space="preserve">Logging and Monitoring Policy</w:t>
            </w:r>
          </w:p>
        </w:tc>
      </w:tr>
      <w:tr>
        <w:tc>
          <w:tcPr>
            <w:tcW w:type="dxa" w:w="3600"/>
          </w:tcPr>
          <w:p>
            <w:r>
              <w:rPr>
                <w:b/>
              </w:rPr>
              <w:t xml:space="preserve">Version</w:t>
            </w:r>
          </w:p>
        </w:tc>
        <w:tc>
          <w:tcPr>
            <w:tcW w:type="dxa" w:w="7200"/>
          </w:tcPr>
          <w:p>
            <w:r>
              <w:t xml:space="preserve">1.0</w:t>
            </w:r>
          </w:p>
        </w:tc>
      </w:tr>
      <w:tr>
        <w:tc>
          <w:tcPr>
            <w:tcW w:type="dxa" w:w="3600"/>
          </w:tcPr>
          <w:p>
            <w:r>
              <w:rPr>
                <w:b/>
              </w:rPr>
              <w:t xml:space="preserve">Document owner</w:t>
            </w:r>
          </w:p>
        </w:tc>
        <w:tc>
          <w:tcPr>
            <w:tcW w:type="dxa" w:w="7200"/>
          </w:tcPr>
          <w:p>
            <w:r>
              <w:t xml:space="preserve">Information Security Lead</w:t>
            </w:r>
          </w:p>
        </w:tc>
      </w:tr>
      <w:tr>
        <w:tc>
          <w:tcPr>
            <w:tcW w:type="dxa" w:w="3600"/>
          </w:tcPr>
          <w:p>
            <w:r>
              <w:rPr>
                <w:b/>
              </w:rPr>
              <w:t xml:space="preserve">Approved by</w:t>
            </w:r>
          </w:p>
        </w:tc>
        <w:tc>
          <w:tcPr>
            <w:tcW w:type="dxa" w:w="7200"/>
          </w:tcPr>
          <w:p>
            <w:r>
              <w:rPr>
                <w:highlight w:val="yellow"/>
              </w:rPr>
              <w:t xml:space="preserve">[Name and title, e.g., Chief Executive Officer]</w:t>
            </w:r>
          </w:p>
        </w:tc>
      </w:tr>
      <w:tr>
        <w:tc>
          <w:tcPr>
            <w:tcW w:type="dxa" w:w="3600"/>
          </w:tcPr>
          <w:p>
            <w:r>
              <w:rPr>
                <w:b/>
              </w:rPr>
              <w:t xml:space="preserve">Effective date</w:t>
            </w:r>
          </w:p>
        </w:tc>
        <w:tc>
          <w:tcPr>
            <w:tcW w:type="dxa" w:w="7200"/>
          </w:tcPr>
          <w:p>
            <w:r>
              <w:rPr>
                <w:highlight w:val="yellow"/>
              </w:rPr>
              <w:t xml:space="preserve">[Date]</w:t>
            </w:r>
          </w:p>
        </w:tc>
      </w:tr>
      <w:tr>
        <w:tc>
          <w:tcPr>
            <w:tcW w:type="dxa" w:w="3600"/>
          </w:tcPr>
          <w:p>
            <w:r>
              <w:rPr>
                <w:b/>
              </w:rPr>
              <w:t xml:space="preserve">Next review date</w:t>
            </w:r>
          </w:p>
        </w:tc>
        <w:tc>
          <w:tcPr>
            <w:tcW w:type="dxa" w:w="7200"/>
          </w:tcPr>
          <w:p>
            <w:r>
              <w:rPr>
                <w:highlight w:val="yellow"/>
              </w:rPr>
              <w:t xml:space="preserve">[Date, no later than one year after the effective date]</w:t>
            </w:r>
          </w:p>
        </w:tc>
      </w:tr>
      <w:tr>
        <w:tc>
          <w:tcPr>
            <w:tcW w:type="dxa" w:w="3600"/>
          </w:tcPr>
          <w:p>
            <w:r>
              <w:rPr>
                <w:b/>
              </w:rPr>
              <w:t xml:space="preserve">Classification</w:t>
            </w:r>
          </w:p>
        </w:tc>
        <w:tc>
          <w:tcPr>
            <w:tcW w:type="dxa" w:w="7200"/>
          </w:tcPr>
          <w:p>
            <w:r>
              <w:rPr>
                <w:highlight w:val="yellow"/>
              </w:rPr>
              <w:t xml:space="preserve">[e.g., Internal (shareable with customers and auditors on request)]</w:t>
            </w:r>
          </w:p>
        </w:tc>
      </w:tr>
    </w:tbl>
    <w:p/>
    <w:p>
      <w:r>
        <w:rPr>
          <w:b/>
        </w:rPr>
        <w:t xml:space="preserve">Revision History</w:t>
      </w:r>
    </w:p>
    <w:tbl>
      <w:tblPr>
        <w:tblStyle w:val="TableGrid"/>
        <w:tblW w:type="auto" w:w="0"/>
        <w:tblLook w:firstColumn="1" w:firstRow="1" w:lastColumn="0" w:lastRow="0" w:noHBand="0" w:noVBand="1" w:val="04A0"/>
      </w:tblPr>
      <w:tblGrid>
        <w:gridCol w:w="1800"/>
        <w:gridCol w:w="2400"/>
        <w:gridCol w:w="6600"/>
      </w:tblGrid>
      <w:tr>
        <w:tc>
          <w:tcPr>
            <w:tcW w:type="dxa" w:w="1800"/>
          </w:tcPr>
          <w:p>
            <w:r>
              <w:rPr>
                <w:b/>
              </w:rPr>
              <w:t xml:space="preserve">Version</w:t>
            </w:r>
          </w:p>
        </w:tc>
        <w:tc>
          <w:tcPr>
            <w:tcW w:type="dxa" w:w="2400"/>
          </w:tcPr>
          <w:p>
            <w:r>
              <w:rPr>
                <w:b/>
              </w:rPr>
              <w:t xml:space="preserve">Date</w:t>
            </w:r>
          </w:p>
        </w:tc>
        <w:tc>
          <w:tcPr>
            <w:tcW w:type="dxa" w:w="6600"/>
          </w:tcPr>
          <w:p>
            <w:r>
              <w:rPr>
                <w:b/>
              </w:rPr>
              <w:t xml:space="preserve">Summary of changes</w:t>
            </w:r>
          </w:p>
        </w:tc>
      </w:tr>
      <w:tr>
        <w:tc>
          <w:tcPr>
            <w:tcW w:type="dxa" w:w="1800"/>
          </w:tcPr>
          <w:p>
            <w:r>
              <w:t xml:space="preserve">1.0</w:t>
            </w:r>
          </w:p>
        </w:tc>
        <w:tc>
          <w:tcPr>
            <w:tcW w:type="dxa" w:w="2400"/>
          </w:tcPr>
          <w:p>
            <w:r>
              <w:rPr>
                <w:highlight w:val="yellow"/>
              </w:rPr>
              <w:t xml:space="preserve">[Date]</w:t>
            </w:r>
          </w:p>
        </w:tc>
        <w:tc>
          <w:tcPr>
            <w:tcW w:type="dxa" w:w="6600"/>
          </w:tcPr>
          <w:p>
            <w:r>
              <w:t xml:space="preserve">Initial version.</w:t>
            </w:r>
          </w:p>
        </w:tc>
      </w:tr>
    </w:tbl>
    <w:p/>
    <w:p>
      <w:pPr>
        <w:pStyle w:val="Heading1"/>
      </w:pPr>
      <w:r>
        <w:t xml:space="preserve">1.0 Purpose</w:t>
      </w:r>
    </w:p>
    <w:p>
      <w:r>
        <w:t xml:space="preserve">This policy sets how </w:t>
      </w:r>
      <w:r>
        <w:rPr>
          <w:highlight w:val="yellow"/>
        </w:rPr>
        <w:t xml:space="preserve">[Company Name]</w:t>
      </w:r>
      <w:r>
        <w:t xml:space="preserve"> ("the organization") records, protects, and watches the events on its systems, so that problems are found early, incidents can be investigated, and the organization can show what happened.</w:t>
      </w:r>
    </w:p>
    <w:p>
      <w:r>
        <w:t xml:space="preserve">This policy is a supporting policy of the organization's Information Security Policy, and it expands that policy's logging and monitoring requirement into working rules. It gives effect to the logging, monitoring, and clock synchronization controls of ISO/IEC 27001:2022 Annex A and the corresponding outcomes of the NIST Cybersecurity Framework (CSF) 2.0 (see Section 9.0).</w:t>
      </w:r>
    </w:p>
    <w:p>
      <w:pPr>
        <w:pStyle w:val="Heading1"/>
      </w:pPr>
      <w:r>
        <w:t xml:space="preserve">2.0 Scope</w:t>
      </w:r>
    </w:p>
    <w:p>
      <w:r>
        <w:t xml:space="preserve">This policy applies to every system in the asset inventory the Information Security Policy requires: servers, workstations, network equipment, the identity provider (IdP: the sign-in system), cloud and SaaS services (software used over the internet), security tools, and the organization's own applications. It governs the organization-side work of producing, protecting, and watching logs. Incidents found by that watching are handled under the Incident Response Policy; how long logs are kept follows Section 3.5.</w:t>
      </w:r>
    </w:p>
    <w:p>
      <w:pPr>
        <w:pStyle w:val="Heading1"/>
      </w:pPr>
      <w:r>
        <w:t xml:space="preserve">3.0 Policy Statements</w:t>
      </w:r>
    </w:p>
    <w:p>
      <w:r>
        <w:t xml:space="preserve">Throughout this policy, a statement of what the organization or its people do ("is encrypted", "are recorded") is a requirement, as are "must", "shall", and direct instructions such as "use only" or "never". The words "may" and "is acceptable" mark a permission. Where a requirement needs a planned deviation, Section 6.0 describes how to request an exception. Text in square brackets marks a decision to make when adopting this policy: a placeholder to fill in, a starting value to set, or a passage to review and then keep, adapt, or delete. Remove the brackets after each decision.</w:t>
      </w:r>
    </w:p>
    <w:p>
      <w:pPr>
        <w:pStyle w:val="Heading2"/>
      </w:pPr>
      <w:r>
        <w:t xml:space="preserve">3.1 What Is Logged</w:t>
      </w:r>
    </w:p>
    <w:p>
      <w:pPr>
        <w:pStyle w:val="ListBullet"/>
      </w:pPr>
      <w:r>
        <w:t xml:space="preserve">Every system that can record security events does. At minimum, wherever the platform can record them: sign-ins and sign-in failures, privileged actions (administrator work and permission changes), access to Confidential information under the Data Handling Policy, changes to security settings, and the events the organization's security tools raise.</w:t>
      </w:r>
    </w:p>
    <w:p>
      <w:pPr>
        <w:pStyle w:val="ListBullet"/>
      </w:pPr>
      <w:r>
        <w:t xml:space="preserve">Each log entry carries enough to reconstruct the event: what happened, where, the account involved, and the time. A system that cannot meet this is recorded as a limit in the coverage check (Section 3.6).</w:t>
      </w:r>
    </w:p>
    <w:p>
      <w:pPr>
        <w:pStyle w:val="ListBullet"/>
      </w:pPr>
      <w:r>
        <w:t xml:space="preserve">Cloud and SaaS services keep audit logging turned on where the service offers it, at the plan the organization has. Where a service's audit log is off by default, turning it on is part of adopting the service.</w:t>
      </w:r>
    </w:p>
    <w:p>
      <w:pPr>
        <w:pStyle w:val="ListBullet"/>
      </w:pPr>
      <w:r>
        <w:t xml:space="preserve">Monitoring stays within the notice and legal limits the Acceptable Use Policy sets: it watches the organization's systems and accounts for security, and does not collect more than that purpose needs.</w:t>
      </w:r>
    </w:p>
    <w:p>
      <w:pPr>
        <w:pStyle w:val="Heading2"/>
      </w:pPr>
      <w:r>
        <w:t xml:space="preserve">3.2 Where Logs Live</w:t>
      </w:r>
    </w:p>
    <w:p>
      <w:pPr>
        <w:pStyle w:val="ListBullet"/>
      </w:pPr>
      <w:r>
        <w:t xml:space="preserve">Where practical, logs are collected into a central place the Information Security Lead designates, so they survive the system that produced them and can be searched together. That may be a log platform such as a security information and event management system, or SIEM, or simply the security tool's console.</w:t>
      </w:r>
    </w:p>
    <w:p>
      <w:pPr>
        <w:pStyle w:val="ListBullet"/>
      </w:pPr>
      <w:r>
        <w:t xml:space="preserve">A system that cannot forward its logs keeps them locally for the Section 3.5 period, and the limit is recorded in the coverage check (Section 3.6).</w:t>
      </w:r>
    </w:p>
    <w:p>
      <w:pPr>
        <w:pStyle w:val="Heading2"/>
      </w:pPr>
      <w:r>
        <w:t xml:space="preserve">3.3 Protecting Logs</w:t>
      </w:r>
    </w:p>
    <w:p>
      <w:pPr>
        <w:pStyle w:val="ListBullet"/>
      </w:pPr>
      <w:r>
        <w:t xml:space="preserve">Logs are protected from tampering and from unauthorized reading: access is limited under the Access Control Policy to the people whose work requires it, changes and deletions are restricted, and access to the logs is itself logged where the platform can. Logs are classified at least Internal under the Data Handling Policy; entries that hold Confidential information are handled at that level.</w:t>
      </w:r>
    </w:p>
    <w:p>
      <w:pPr>
        <w:pStyle w:val="Heading2"/>
      </w:pPr>
      <w:r>
        <w:t xml:space="preserve">3.4 Clocks</w:t>
      </w:r>
    </w:p>
    <w:p>
      <w:pPr>
        <w:pStyle w:val="ListBullet"/>
      </w:pPr>
      <w:r>
        <w:t xml:space="preserve">System clocks are synchronized to an approved time source, so logs from different systems line up, as the Incident Response Policy requires for investigations. A system whose clock cannot be synchronized is recorded as a limit (Section 3.6).</w:t>
      </w:r>
    </w:p>
    <w:p>
      <w:pPr>
        <w:pStyle w:val="Heading2"/>
      </w:pPr>
      <w:r>
        <w:t xml:space="preserve">3.5 Retention</w:t>
      </w:r>
    </w:p>
    <w:p>
      <w:pPr>
        <w:pStyle w:val="ListBullet"/>
      </w:pPr>
      <w:r>
        <w:t xml:space="preserve">Security logs are kept at least as long as the Incident Response Policy's security-log minimum, and per the Data Handling Policy's retention schedule; a legal hold under that policy overrides expiry. Logs are disposed of under that policy's deletion rules.</w:t>
      </w:r>
    </w:p>
    <w:p>
      <w:pPr>
        <w:pStyle w:val="Heading2"/>
      </w:pPr>
      <w:r>
        <w:t xml:space="preserve">3.6 Monitoring, Alerts, and Coverage</w:t>
      </w:r>
    </w:p>
    <w:p>
      <w:pPr>
        <w:pStyle w:val="ListBullet"/>
      </w:pPr>
      <w:r>
        <w:t xml:space="preserve">Security operations, with IT, watches the collected logs and the security tools' alerts: alerts route to a place someone checks each business day, and anything that looks like an incident is reported and handled under the Incident Response Policy at once.</w:t>
      </w:r>
    </w:p>
    <w:p>
      <w:pPr>
        <w:pStyle w:val="ListBullet"/>
      </w:pPr>
      <w:r>
        <w:t xml:space="preserve">Alert thresholds and detection rules follow the Incident Response Policy: its detection-rule review covers the rules that watch these logs, and one review satisfies both policies.</w:t>
      </w:r>
    </w:p>
    <w:p>
      <w:pPr>
        <w:pStyle w:val="ListBullet"/>
      </w:pPr>
      <w:r>
        <w:t xml:space="preserve">Coverage is checked at least </w:t>
      </w:r>
      <w:r>
        <w:rPr>
          <w:highlight w:val="yellow"/>
        </w:rPr>
        <w:t xml:space="preserve">[quarterly]</w:t>
      </w:r>
      <w:r>
        <w:t xml:space="preserve">: the log sources in Appendix 1 are compared against the asset inventory, recorded limits are reviewed, and silent sources (a system that stopped sending) are caught. The check is recorded.</w:t>
      </w:r>
    </w:p>
    <w:p>
      <w:pPr>
        <w:pStyle w:val="Heading1"/>
      </w:pPr>
      <w:r>
        <w:t xml:space="preserve">4.0 Roles and Responsibilities</w:t>
      </w:r>
    </w:p>
    <w:p>
      <w:pPr>
        <w:pStyle w:val="ListBullet"/>
      </w:pPr>
      <w:r>
        <w:t xml:space="preserve">The Information Security Lead owns this policy, designates the central log place and the monitoring tools, decides coverage exceptions, and reports on monitoring as part of the program reporting the Information Security Policy requires.</w:t>
      </w:r>
    </w:p>
    <w:p>
      <w:pPr>
        <w:pStyle w:val="ListBullet"/>
      </w:pPr>
      <w:r>
        <w:t xml:space="preserve">Security operations, with IT (an internal team or a qualified service provider; a small organization may assign the function to the Information Security Lead), runs collection and watching, performs the coverage check, and keeps the log sources current.</w:t>
      </w:r>
    </w:p>
    <w:p>
      <w:pPr>
        <w:pStyle w:val="ListBullet"/>
      </w:pPr>
      <w:r>
        <w:t xml:space="preserve">System owners (the owners the asset inventory assigns) make sure their systems record events per Section 3.1 and forward them per Section 3.2.</w:t>
      </w:r>
    </w:p>
    <w:p>
      <w:pPr>
        <w:pStyle w:val="Heading1"/>
      </w:pPr>
      <w:r>
        <w:t xml:space="preserve">5.0 Policy Review and Updates</w:t>
      </w:r>
    </w:p>
    <w:p>
      <w:r>
        <w:t xml:space="preserve">This policy shall be reviewed at least annually, and sooner when the business, technology, regulations, or the threat environment change significantly. The Information Security Lead starts the review, and Executive Management approves changes before they take effect, following the review process in the Information Security Policy.</w:t>
      </w:r>
    </w:p>
    <w:p>
      <w:pPr>
        <w:pStyle w:val="Heading1"/>
      </w:pPr>
      <w:r>
        <w:t xml:space="preserve">6.0 Exceptions</w:t>
      </w:r>
    </w:p>
    <w:p>
      <w:r>
        <w:t xml:space="preserve">Any planned deviation from this policy requires a documented exception, requested and approved through the exception process in the Information Security Policy. Submit the request in writing to the Information Security Lead. Describe the business reason, what the exception covers, how long it is needed, and any temporary safeguards that reduce the risk. Exceptions expire and are reviewed under that process.</w:t>
      </w:r>
    </w:p>
    <w:p>
      <w:r>
        <w:t xml:space="preserve">An exception documents a temporary gap that stays subject to expiry and review. A gap that is discovered rather than planned is reported and handled first (see Section 7.0); if it must stay open afterward, an exception is requested promptly. A deviation someone chose to make without approval, or a discovered gap kept outside this process, is a violation (see Section 8.0).</w:t>
      </w:r>
    </w:p>
    <w:p>
      <w:pPr>
        <w:pStyle w:val="Heading1"/>
      </w:pPr>
      <w:r>
        <w:t xml:space="preserve">7.0 Reporting Security Incidents and Concerns</w:t>
      </w:r>
    </w:p>
    <w:p>
      <w:r>
        <w:t xml:space="preserve">Report suspected security incidents, signs of tampering with logs, monitoring that has silently stopped, and other security concerns promptly. Use the incident reporting contacts kept in the Information Security Policy (its Appendix 1). A report to any manager counts; the manager passes it to those contacts. Failing to report a security incident you know about or reasonably suspect is itself a policy violation (see Section 8.0).</w:t>
      </w:r>
    </w:p>
    <w:p>
      <w:r>
        <w:rPr>
          <w:highlight w:val="yellow"/>
        </w:rPr>
        <w:t xml:space="preserve">[No one is punished for the act of making a good-faith report; the report itself is never the offense. An honest mistake reported promptly is treated more leniently than one concealed, and a late report is treated more leniently than none. Any discipline for the underlying conduct follows Section 8.0.]</w:t>
      </w:r>
    </w:p>
    <w:p>
      <w:pPr>
        <w:pStyle w:val="Heading1"/>
      </w:pPr>
      <w:r>
        <w:t xml:space="preserve">8.0 Violations and Disciplinary Action</w:t>
      </w:r>
    </w:p>
    <w:p>
      <w:r>
        <w:t xml:space="preserve">Anyone who violates this policy can face disciplinary action, up to and including termination of employment or contract, and legal action where applicable. The response to a violation will depend on its severity, its impact on the organization's security, and any legal or regulatory requirements.</w:t>
      </w:r>
    </w:p>
    <w:p>
      <w:pPr>
        <w:pStyle w:val="Heading1"/>
      </w:pPr>
      <w:r>
        <w:t xml:space="preserve">9.0 Related Policies and Standards</w:t>
      </w:r>
    </w:p>
    <w:p>
      <w:r>
        <w:t xml:space="preserve">This policy is a supporting policy of the Information Security Policy, the top-level document of the organization's information security policy set. This policy may set stricter rules; a stricter rule is not a conflict. If this policy contradicts the Information Security Policy, the Information Security Policy prevails.</w:t>
      </w:r>
    </w:p>
    <w:p>
      <w:r>
        <w:t xml:space="preserve">It works alongside these policies:</w:t>
      </w:r>
    </w:p>
    <w:p>
      <w:pPr>
        <w:pStyle w:val="ListBullet"/>
      </w:pPr>
      <w:r>
        <w:t xml:space="preserve">The Information Security Policy: the program this policy supports; its Section 3.6 requires the logging and monitoring this policy details.</w:t>
      </w:r>
    </w:p>
    <w:p>
      <w:pPr>
        <w:pStyle w:val="ListBullet"/>
      </w:pPr>
      <w:r>
        <w:t xml:space="preserve">The Incident Response Policy: what happens when watching finds something; it sets the security-log minimum, the clock requirement for investigations, and the detection-rule review this policy relies on.</w:t>
      </w:r>
    </w:p>
    <w:p>
      <w:pPr>
        <w:pStyle w:val="ListBullet"/>
      </w:pPr>
      <w:r>
        <w:t xml:space="preserve">The Data Handling Policy: the classification of what logs contain, the retention schedule, and legal holds.</w:t>
      </w:r>
    </w:p>
    <w:p>
      <w:pPr>
        <w:pStyle w:val="ListBullet"/>
      </w:pPr>
      <w:r>
        <w:t xml:space="preserve">The Access Control Policy: who may read or administer logs, and the sign-in and access events that feed them.</w:t>
      </w:r>
    </w:p>
    <w:p>
      <w:pPr>
        <w:pStyle w:val="ListBullet"/>
      </w:pPr>
      <w:r>
        <w:t xml:space="preserve">The Acceptable Use Policy: the monitoring notice and legal limits the organization's watching operates within.</w:t>
      </w:r>
    </w:p>
    <w:p>
      <w:pPr>
        <w:pStyle w:val="ListBullet"/>
      </w:pPr>
      <w:r>
        <w:t xml:space="preserve">The Vulnerability Management Policy: an exploited weakness found in the logs is an incident; a weakness found by its scans is fixed under it.</w:t>
      </w:r>
    </w:p>
    <w:p>
      <w:pPr>
        <w:pStyle w:val="ListBullet"/>
      </w:pPr>
      <w:r>
        <w:t xml:space="preserve">The Email Security Policy: the mail-security events that feed this policy's log sources.</w:t>
      </w:r>
    </w:p>
    <w:p>
      <w:pPr>
        <w:pStyle w:val="ListBullet"/>
      </w:pPr>
      <w:r>
        <w:t xml:space="preserve">The Business Continuity &amp; Disaster Recovery Plan: its backup jobs are a watched log source; a failing backup is acted on under it.</w:t>
      </w:r>
    </w:p>
    <w:p>
      <w:r>
        <w:t xml:space="preserve">Where any of these does not exist yet, treat it as a roadmap item; the rules in this policy apply on their own regardless.</w:t>
      </w:r>
    </w:p>
    <w:p>
      <w:r>
        <w:t xml:space="preserve">At a policy level, these rules put into practice three controls of ISO/IEC 27001:2022 Annex A: control 8.15 (logging), control 8.16 (monitoring activities), and control 8.17 (clock synchronization). They support the Detect function of the NIST Cybersecurity Framework 2.0 through its two categories, Continuous Monitoring (DE.CM) and Adverse Event Analysis (DE.AE), and they put into practice Control 8 (Audit Log Management) of the CIS Critical Security Controls Version 8.1.</w:t>
      </w:r>
    </w:p>
    <w:p>
      <w:pPr>
        <w:pStyle w:val="Heading1"/>
        <w:pageBreakBefore/>
      </w:pPr>
      <w:r>
        <w:t xml:space="preserve">Appendix 1: Starter Log Source Checklist</w:t>
      </w:r>
    </w:p>
    <w:p>
      <w:r>
        <w:t xml:space="preserve">Adopt this as the starting list for the Section 3.6 coverage check. Add sources as the inventory grows, and delete lines that do not apply.</w:t>
      </w:r>
    </w:p>
    <w:tbl>
      <w:tblPr>
        <w:tblStyle w:val="TableGrid"/>
        <w:tblW w:type="auto" w:w="0"/>
        <w:tblLook w:firstColumn="1" w:firstRow="1" w:lastColumn="0" w:lastRow="0" w:noHBand="0" w:noVBand="1" w:val="04A0"/>
      </w:tblPr>
      <w:tblGrid>
        <w:gridCol w:w="3400"/>
        <w:gridCol w:w="5600"/>
        <w:gridCol w:w="1800"/>
      </w:tblGrid>
      <w:tr>
        <w:tc>
          <w:tcPr>
            <w:tcW w:type="dxa" w:w="3400"/>
          </w:tcPr>
          <w:p>
            <w:r>
              <w:rPr>
                <w:b/>
              </w:rPr>
              <w:t xml:space="preserve">Source</w:t>
            </w:r>
          </w:p>
        </w:tc>
        <w:tc>
          <w:tcPr>
            <w:tcW w:type="dxa" w:w="5600"/>
          </w:tcPr>
          <w:p>
            <w:r>
              <w:rPr>
                <w:b/>
              </w:rPr>
              <w:t xml:space="preserve">What it records</w:t>
            </w:r>
          </w:p>
        </w:tc>
        <w:tc>
          <w:tcPr>
            <w:tcW w:type="dxa" w:w="1800"/>
          </w:tcPr>
          <w:p>
            <w:r>
              <w:rPr>
                <w:b/>
              </w:rPr>
              <w:t xml:space="preserve">On?</w:t>
            </w:r>
          </w:p>
        </w:tc>
      </w:tr>
      <w:tr>
        <w:tc>
          <w:tcPr>
            <w:tcW w:type="dxa" w:w="3400"/>
          </w:tcPr>
          <w:p>
            <w:r>
              <w:t xml:space="preserve">Identity provider</w:t>
            </w:r>
          </w:p>
        </w:tc>
        <w:tc>
          <w:tcPr>
            <w:tcW w:type="dxa" w:w="5600"/>
          </w:tcPr>
          <w:p>
            <w:r>
              <w:t xml:space="preserve">Sign-ins and failures, multi-factor authentication (MFA) events, administrator changes</w:t>
            </w:r>
          </w:p>
        </w:tc>
        <w:tc>
          <w:tcPr>
            <w:tcW w:type="dxa" w:w="1800"/>
          </w:tcPr>
          <w:p/>
        </w:tc>
      </w:tr>
      <w:tr>
        <w:tc>
          <w:tcPr>
            <w:tcW w:type="dxa" w:w="3400"/>
          </w:tcPr>
          <w:p>
            <w:r>
              <w:t xml:space="preserve">Cloud and SaaS admin consoles</w:t>
            </w:r>
          </w:p>
        </w:tc>
        <w:tc>
          <w:tcPr>
            <w:tcW w:type="dxa" w:w="5600"/>
          </w:tcPr>
          <w:p>
            <w:r>
              <w:t xml:space="preserve">Administrator actions and setting changes</w:t>
            </w:r>
          </w:p>
        </w:tc>
        <w:tc>
          <w:tcPr>
            <w:tcW w:type="dxa" w:w="1800"/>
          </w:tcPr>
          <w:p/>
        </w:tc>
      </w:tr>
      <w:tr>
        <w:tc>
          <w:tcPr>
            <w:tcW w:type="dxa" w:w="3400"/>
          </w:tcPr>
          <w:p>
            <w:r>
              <w:t xml:space="preserve">Endpoint security tool (endpoint detection and response, EDR, or antivirus)</w:t>
            </w:r>
          </w:p>
        </w:tc>
        <w:tc>
          <w:tcPr>
            <w:tcW w:type="dxa" w:w="5600"/>
          </w:tcPr>
          <w:p>
            <w:r>
              <w:t xml:space="preserve">Malware detections and device health</w:t>
            </w:r>
          </w:p>
        </w:tc>
        <w:tc>
          <w:tcPr>
            <w:tcW w:type="dxa" w:w="1800"/>
          </w:tcPr>
          <w:p/>
        </w:tc>
      </w:tr>
      <w:tr>
        <w:tc>
          <w:tcPr>
            <w:tcW w:type="dxa" w:w="3400"/>
          </w:tcPr>
          <w:p>
            <w:r>
              <w:t xml:space="preserve">Email security</w:t>
            </w:r>
          </w:p>
        </w:tc>
        <w:tc>
          <w:tcPr>
            <w:tcW w:type="dxa" w:w="5600"/>
          </w:tcPr>
          <w:p>
            <w:r>
              <w:t xml:space="preserve">Filtering verdicts and authentication reports (Email Security Policy)</w:t>
            </w:r>
          </w:p>
        </w:tc>
        <w:tc>
          <w:tcPr>
            <w:tcW w:type="dxa" w:w="1800"/>
          </w:tcPr>
          <w:p/>
        </w:tc>
      </w:tr>
      <w:tr>
        <w:tc>
          <w:tcPr>
            <w:tcW w:type="dxa" w:w="3400"/>
          </w:tcPr>
          <w:p>
            <w:r>
              <w:t xml:space="preserve">Servers and applications</w:t>
            </w:r>
          </w:p>
        </w:tc>
        <w:tc>
          <w:tcPr>
            <w:tcW w:type="dxa" w:w="5600"/>
          </w:tcPr>
          <w:p>
            <w:r>
              <w:t xml:space="preserve">Sign-ins, privileged actions, errors</w:t>
            </w:r>
          </w:p>
        </w:tc>
        <w:tc>
          <w:tcPr>
            <w:tcW w:type="dxa" w:w="1800"/>
          </w:tcPr>
          <w:p/>
        </w:tc>
      </w:tr>
      <w:tr>
        <w:tc>
          <w:tcPr>
            <w:tcW w:type="dxa" w:w="3400"/>
          </w:tcPr>
          <w:p>
            <w:r>
              <w:t xml:space="preserve">Network equipment and firewall, where present</w:t>
            </w:r>
          </w:p>
        </w:tc>
        <w:tc>
          <w:tcPr>
            <w:tcW w:type="dxa" w:w="5600"/>
          </w:tcPr>
          <w:p>
            <w:r>
              <w:t xml:space="preserve">Configuration changes, and blocked traffic where useful</w:t>
            </w:r>
          </w:p>
        </w:tc>
        <w:tc>
          <w:tcPr>
            <w:tcW w:type="dxa" w:w="1800"/>
          </w:tcPr>
          <w:p/>
        </w:tc>
      </w:tr>
      <w:tr>
        <w:tc>
          <w:tcPr>
            <w:tcW w:type="dxa" w:w="3400"/>
          </w:tcPr>
          <w:p>
            <w:r>
              <w:t xml:space="preserve">Backup system</w:t>
            </w:r>
          </w:p>
        </w:tc>
        <w:tc>
          <w:tcPr>
            <w:tcW w:type="dxa" w:w="5600"/>
          </w:tcPr>
          <w:p>
            <w:r>
              <w:t xml:space="preserve">Job success and failure (Business Continuity &amp; Disaster Recovery Plan)</w:t>
            </w:r>
          </w:p>
        </w:tc>
        <w:tc>
          <w:tcPr>
            <w:tcW w:type="dxa" w:w="1800"/>
          </w:tcPr>
          <w:p/>
        </w:tc>
      </w:tr>
    </w:tbl>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sz w:val="18"/>
      </w:rPr>
      <w:t xml:space="preserve">Logging and Monitoring Policy | Page </w:t>
    </w:r>
    <w:r>
      <w:rPr>
        <w:sz w:val="18"/>
      </w:rPr>
      <w:fldChar w:fldCharType="begin"/>
      <w:instrText xml:space="preserve">PAGE</w:instrText>
      <w:fldChar w:fldCharType="end"/>
    </w:r>
    <w:r>
      <w:rPr>
        <w:sz w:val="18"/>
      </w:rPr>
      <w:t xml:space="preserve"> of </w:t>
    </w:r>
    <w:r>
      <w:rPr>
        <w:sz w:val="18"/>
      </w:rPr>
      <w:fldChar w:fldCharType="begin"/>
      <w:instrText xml:space="preserve">NUMPAGES</w:instrText>
      <w:fldChar w:fldCharType="end"/>
    </w:r>
    <w:r>
      <w:rPr>
        <w:sz w:val="18"/>
      </w:rPr>
      <w:t xml:space="preserve"> | anobytes.com</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720"/>
        </w:tabs>
        <w:ind w:left="72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00"/>
  <w:proofState w:spelling="clean" w:grammar="clean"/>
  <w:defaultTabStop w:val="720"/>
  <w:characterSpacingControl w:val="doNotCompress"/>
  <w:savePreviewPicture/>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80" w:line="240" w:lineRule="auto"/>
    </w:pPr>
    <w:rPr>
      <w:rFonts w:ascii="Arial" w:hAnsi="Arial" w:cs="Arial"/>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rPr>
      <w:rFonts w:ascii="Arial" w:hAnsi="Arial" w:cs="Arial"/>
    </w:r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160" w:after="80"/>
      <w:outlineLvl w:val="0"/>
    </w:pPr>
    <w:rPr>
      <w:rFonts w:eastAsiaTheme="majorEastAsia" w:ascii="Arial" w:hAnsi="Arial" w:cs="Arial"/>
      <w:b/>
      <w:bCs/>
      <w:color w:val="365F91" w:themeColor="accent1" w:themeShade="BF"/>
      <w:sz w:val="26"/>
      <w:szCs w:val="28"/>
    </w:rPr>
  </w:style>
  <w:style w:type="paragraph" w:styleId="Heading2">
    <w:name w:val="heading 2"/>
    <w:basedOn w:val="Normal"/>
    <w:next w:val="Normal"/>
    <w:link w:val="Heading2Char"/>
    <w:uiPriority w:val="9"/>
    <w:unhideWhenUsed/>
    <w:qFormat/>
    <w:rsid w:val="00FC693F"/>
    <w:pPr>
      <w:keepNext/>
      <w:keepLines/>
      <w:spacing w:before="120" w:after="60"/>
      <w:outlineLvl w:val="1"/>
    </w:pPr>
    <w:rPr>
      <w:rFonts w:eastAsiaTheme="majorEastAsia" w:ascii="Arial" w:hAnsi="Arial" w:cs="Arial"/>
      <w:b/>
      <w:bCs/>
      <w:color w:val="4F81BD" w:themeColor="accent1"/>
      <w:sz w:val="22"/>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eastAsiaTheme="majorEastAsia" w:ascii="Arial" w:hAnsi="Arial" w:cs="Arial"/>
      <w:color w:val="17365D" w:themeColor="text2" w:themeShade="BF"/>
      <w:spacing w:val="5"/>
      <w:kern w:val="28"/>
      <w:sz w:val="44"/>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40"/>
      <w:contextualSpacing/>
    </w:pPr>
    <w:rPr>
      <w:rFonts w:ascii="Arial" w:hAnsi="Arial" w:cs="Arial"/>
      <w:sz w:val="20"/>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rial"/>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1676</Words>
  <Characters>17481</Characters>
  <DocSecurity>0</DocSecurity>
  <Lines>179</Lines>
  <Paragraphs>142</Paragraphs>
  <ScaleCrop>false</ScaleCrop>
  <HeadingPairs>
    <vt:vector size="2" baseType="variant">
      <vt:variant>
        <vt:lpstr>Title</vt:lpstr>
      </vt:variant>
      <vt:variant>
        <vt:i4>1</vt:i4>
      </vt:variant>
    </vt:vector>
  </HeadingPairs>
  <TitlesOfParts>
    <vt:vector size="1" baseType="lpstr">
      <vt:lpstr>Logging and Monitoring Policy</vt:lpstr>
    </vt:vector>
  </TitlesOfParts>
  <Manager/>
  <Company>anoBytes Technology Solutions LLC</Company>
  <LinksUpToDate>false</LinksUpToDate>
  <CharactersWithSpaces>20644</CharactersWithSpaces>
  <SharedDoc>false</SharedDoc>
  <HyperlinkBase/>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dc:title>Logging and Monitoring Policy</dc:title>
  <dc:subject>Logging and Monitoring Policy template</dc:subject>
  <dc:creator>Nelson Pereira, anoBytes Technology Solutions LLC</dc:creator>
  <cp:keywords>siem, edr, detection-rule, log source, retention schedule, clock synchronization, privileged actions, sign-ins, tampering, alert, endpoint detection and response</cp:keywords>
  <dc:description>A companion to our Information Security Policy that defines what gets logged, where logs are stored, who reviews them, and how logging coverage is verified. Aligned to CIS Control 8, Audit Log Management. Free to adapt for your organization.</dc:description>
  <cp:lastModifiedBy/>
  <cp:revision>1</cp:revision>
  <dcterms:created xsi:type="dcterms:W3CDTF">2026-07-30T00:00:00Z</dcterms:created>
  <dcterms:modified xsi:type="dcterms:W3CDTF">2026-08-06T00:00:00Z</dcterms:modified>
  <cp:category>Template</cp:category>
</cp:coreProperties>
</file>