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xml:space="preserve">Physical and Environmental Security Policy</w:t>
      </w:r>
    </w:p>
    <w:p>
      <w:r>
        <w:rPr>
          <w:b/>
        </w:rPr>
        <w:t xml:space="preserve">Document Control</w:t>
      </w:r>
    </w:p>
    <w:tbl>
      <w:tblPr>
        <w:tblStyle w:val="TableGrid"/>
        <w:tblW w:type="auto" w:w="0"/>
        <w:tblLook w:firstColumn="1" w:firstRow="1" w:lastColumn="0" w:lastRow="0" w:noHBand="0" w:noVBand="1" w:val="04A0"/>
      </w:tblPr>
      <w:tblGrid>
        <w:gridCol w:w="5400"/>
        <w:gridCol w:w="5400"/>
      </w:tblGrid>
      <w:tr>
        <w:tc>
          <w:tcPr>
            <w:tcW w:type="dxa" w:w="5400"/>
          </w:tcPr>
          <w:p>
            <w:r>
              <w:rPr>
                <w:b/>
              </w:rPr>
              <w:t xml:space="preserve">Document title</w:t>
            </w:r>
          </w:p>
        </w:tc>
        <w:tc>
          <w:tcPr>
            <w:tcW w:type="dxa" w:w="5400"/>
          </w:tcPr>
          <w:p>
            <w:r>
              <w:t xml:space="preserve">Physical and Environmental Security Policy</w:t>
            </w:r>
          </w:p>
        </w:tc>
      </w:tr>
      <w:tr>
        <w:tc>
          <w:tcPr>
            <w:tcW w:type="dxa" w:w="5400"/>
          </w:tcPr>
          <w:p>
            <w:r>
              <w:rPr>
                <w:b/>
              </w:rPr>
              <w:t xml:space="preserve">Version</w:t>
            </w:r>
          </w:p>
        </w:tc>
        <w:tc>
          <w:tcPr>
            <w:tcW w:type="dxa" w:w="5400"/>
          </w:tcPr>
          <w:p>
            <w:r>
              <w:t xml:space="preserve">1.0</w:t>
            </w:r>
          </w:p>
        </w:tc>
      </w:tr>
      <w:tr>
        <w:tc>
          <w:tcPr>
            <w:tcW w:type="dxa" w:w="5400"/>
          </w:tcPr>
          <w:p>
            <w:r>
              <w:rPr>
                <w:b/>
              </w:rPr>
              <w:t xml:space="preserve">Document owner</w:t>
            </w:r>
          </w:p>
        </w:tc>
        <w:tc>
          <w:tcPr>
            <w:tcW w:type="dxa" w:w="5400"/>
          </w:tcPr>
          <w:p>
            <w:r>
              <w:t xml:space="preserve">Information Security Lead</w:t>
            </w:r>
          </w:p>
        </w:tc>
      </w:tr>
      <w:tr>
        <w:tc>
          <w:tcPr>
            <w:tcW w:type="dxa" w:w="5400"/>
          </w:tcPr>
          <w:p>
            <w:r>
              <w:rPr>
                <w:b/>
              </w:rPr>
              <w:t xml:space="preserve">Approved by</w:t>
            </w:r>
          </w:p>
        </w:tc>
        <w:tc>
          <w:tcPr>
            <w:tcW w:type="dxa" w:w="5400"/>
          </w:tcPr>
          <w:p>
            <w:r>
              <w:rPr>
                <w:highlight w:val="yellow"/>
              </w:rPr>
              <w:t xml:space="preserve">[Name and title, e.g., Chief Executive Officer]</w:t>
            </w:r>
          </w:p>
        </w:tc>
      </w:tr>
      <w:tr>
        <w:tc>
          <w:tcPr>
            <w:tcW w:type="dxa" w:w="5400"/>
          </w:tcPr>
          <w:p>
            <w:r>
              <w:rPr>
                <w:b/>
              </w:rPr>
              <w:t xml:space="preserve">Effective date</w:t>
            </w:r>
          </w:p>
        </w:tc>
        <w:tc>
          <w:tcPr>
            <w:tcW w:type="dxa" w:w="5400"/>
          </w:tcPr>
          <w:p>
            <w:r>
              <w:rPr>
                <w:highlight w:val="yellow"/>
              </w:rPr>
              <w:t xml:space="preserve">[Date]</w:t>
            </w:r>
          </w:p>
        </w:tc>
      </w:tr>
      <w:tr>
        <w:tc>
          <w:tcPr>
            <w:tcW w:type="dxa" w:w="5400"/>
          </w:tcPr>
          <w:p>
            <w:r>
              <w:rPr>
                <w:b/>
              </w:rPr>
              <w:t xml:space="preserve">Next review date</w:t>
            </w:r>
          </w:p>
        </w:tc>
        <w:tc>
          <w:tcPr>
            <w:tcW w:type="dxa" w:w="5400"/>
          </w:tcPr>
          <w:p>
            <w:r>
              <w:rPr>
                <w:highlight w:val="yellow"/>
              </w:rPr>
              <w:t xml:space="preserve">[Date, no later than one year after the effective date]</w:t>
            </w:r>
          </w:p>
        </w:tc>
      </w:tr>
      <w:tr>
        <w:tc>
          <w:tcPr>
            <w:tcW w:type="dxa" w:w="5400"/>
          </w:tcPr>
          <w:p>
            <w:r>
              <w:rPr>
                <w:b/>
              </w:rPr>
              <w:t xml:space="preserve">Classification</w:t>
            </w:r>
          </w:p>
        </w:tc>
        <w:tc>
          <w:tcPr>
            <w:tcW w:type="dxa" w:w="5400"/>
          </w:tcPr>
          <w:p>
            <w:r>
              <w:rPr>
                <w:highlight w:val="yellow"/>
              </w:rPr>
              <w:t xml:space="preserve">[e.g., Internal (shareable with customers and auditors on request)]</w:t>
            </w:r>
          </w:p>
        </w:tc>
      </w:tr>
    </w:tbl>
    <w:p>
      <w:r>
        <w:rPr>
          <w:b/>
        </w:rPr>
        <w:t xml:space="preserve">Revision History</w:t>
      </w:r>
    </w:p>
    <w:tbl>
      <w:tblPr>
        <w:tblStyle w:val="TableGrid"/>
        <w:tblW w:type="auto" w:w="0"/>
        <w:tblLook w:firstColumn="1" w:firstRow="1" w:lastColumn="0" w:lastRow="0" w:noHBand="0" w:noVBand="1" w:val="04A0"/>
      </w:tblPr>
      <w:tblGrid>
        <w:gridCol w:w="1440"/>
        <w:gridCol w:w="2520"/>
        <w:gridCol w:w="6840"/>
      </w:tblGrid>
      <w:tr>
        <w:tc>
          <w:tcPr>
            <w:tcW w:type="dxa" w:w="1440"/>
          </w:tcPr>
          <w:p>
            <w:r>
              <w:rPr>
                <w:b/>
              </w:rPr>
              <w:t xml:space="preserve">Version</w:t>
            </w:r>
          </w:p>
        </w:tc>
        <w:tc>
          <w:tcPr>
            <w:tcW w:type="dxa" w:w="2520"/>
          </w:tcPr>
          <w:p>
            <w:r>
              <w:rPr>
                <w:b/>
              </w:rPr>
              <w:t xml:space="preserve">Date</w:t>
            </w:r>
          </w:p>
        </w:tc>
        <w:tc>
          <w:tcPr>
            <w:tcW w:type="dxa" w:w="6840"/>
          </w:tcPr>
          <w:p>
            <w:r>
              <w:rPr>
                <w:b/>
              </w:rPr>
              <w:t xml:space="preserve">Summary of changes</w:t>
            </w:r>
          </w:p>
        </w:tc>
      </w:tr>
      <w:tr>
        <w:tc>
          <w:tcPr>
            <w:tcW w:type="dxa" w:w="1440"/>
          </w:tcPr>
          <w:p>
            <w:r>
              <w:t xml:space="preserve">1.0</w:t>
            </w:r>
          </w:p>
        </w:tc>
        <w:tc>
          <w:tcPr>
            <w:tcW w:type="dxa" w:w="2520"/>
          </w:tcPr>
          <w:p>
            <w:r>
              <w:rPr>
                <w:highlight w:val="yellow"/>
              </w:rPr>
              <w:t xml:space="preserve">[Date]</w:t>
            </w:r>
          </w:p>
        </w:tc>
        <w:tc>
          <w:tcPr>
            <w:tcW w:type="dxa" w:w="6840"/>
          </w:tcPr>
          <w:p>
            <w:r>
              <w:t xml:space="preserve">Initial version.</w:t>
            </w:r>
          </w:p>
        </w:tc>
      </w:tr>
    </w:tbl>
    <w:p>
      <w:pPr>
        <w:pStyle w:val="Heading1"/>
      </w:pPr>
      <w:r>
        <w:t xml:space="preserve">1.0 Purpose</w:t>
      </w:r>
    </w:p>
    <w:p>
      <w:r>
        <w:t xml:space="preserve">This policy sets how </w:t>
      </w:r>
      <w:r>
        <w:rPr>
          <w:highlight w:val="yellow"/>
        </w:rPr>
        <w:t>[Company Name]</w:t>
      </w:r>
      <w:r>
        <w:t xml:space="preserve"> ("the organization") protects its people, information, and equipment from physical and environmental threats: unauthorized entry, theft, tampering, the loss of power or cooling, and hazards such as fire and water. Someone standing at a device, a network port, or a filing cabinet does not have to break in over the network.</w:t>
      </w:r>
    </w:p>
    <w:p>
      <w:r>
        <w:t>This policy is a supporting policy of the organization's Information Security Policy. It gives effect to that policy's requirement that the premises and equipment that hold the organization's information are protected against physical and environmental risk. It also gives effect to the physical controls of ISO/IEC 27001:2022 Annex A and the corresponding outcomes of the NIST Cybersecurity Framework (CSF) 2.0 (see Section 9.0).</w:t>
      </w:r>
    </w:p>
    <w:p>
      <w:pPr>
        <w:pStyle w:val="Heading1"/>
      </w:pPr>
      <w:r>
        <w:t xml:space="preserve">2.0 Scope</w:t>
      </w:r>
    </w:p>
    <w:p>
      <w:r>
        <w:t xml:space="preserve">This policy applies to every place the organization keeps or works with its information and equipment: offices and other premises it owns or rents, rooms and areas within them, the equipment inside (servers, network gear, laptops, printers, phones), storage media (drives, USB sticks, backup tapes, paper records), and the supporting utilities (power, cooling, network cabling) those depend on. It applies to the organization's employees and contractors wherever they work, including its premises and their home and other remote workspaces, and to visitors while they are on its premises.</w:t>
      </w:r>
    </w:p>
    <w:p>
      <w:r>
        <w:t xml:space="preserve">Where the organization's information or systems run in a cloud service, a data center, a colocation facility (a third-party data center where the organization houses its own servers), or a managed-office facility it does not control, the physical security of that facility is the provider's responsibility, and the organization confirms it is adequate through the security assessment the Vendor Risk Management Policy requires, rather than through this policy. This policy governs the physical footprint the organization does control.</w:t>
      </w:r>
    </w:p>
    <w:p>
      <w:r>
        <w:t xml:space="preserve">Where people work outside the organization's premises, this policy's rules for protecting assets off-premises (Section 3.8) apply, and the Remote Work &amp; Mobile Device Policy governs the device itself. An organization with no premises of its own, whose only physical footprint is the equipment its people carry, still adopts this policy: Sections 3.7, 3.8, and 3.9 carry most of the weight, and the rest applies as soon as the organization takes on space of its own.</w:t>
      </w:r>
    </w:p>
    <w:p>
      <w:pPr>
        <w:pStyle w:val="Heading1"/>
      </w:pPr>
      <w:r>
        <w:t xml:space="preserve">3.0 Policy Statements</w:t>
      </w:r>
    </w:p>
    <w:p>
      <w:r>
        <w:t xml:space="preserve">Throughout this policy, a statement of what the organization or its people do ("is encrypted", "are recorded") is a requirement, as are "must", "shall", and direct instructions such as "use only" or "never". The words "may" and "is acceptable" mark a permission. Where a requirement needs a planned deviation, Section 6.0 describes how to request an exception. Text in square brackets marks a decision to make when adopting this policy: a placeholder to fill in, a starting value to set, or a passage to review and then keep, adapt, or delete. Remove the brackets after each decision.</w:t>
      </w:r>
    </w:p>
    <w:p>
      <w:pPr>
        <w:pStyle w:val="Heading2"/>
      </w:pPr>
      <w:r>
        <w:t xml:space="preserve">3.1 Secure Areas and Perimeters</w:t>
      </w:r>
    </w:p>
    <w:p>
      <w:r>
        <w:t>The organization protects its premises in layers, so that reaching sensitive equipment or information means passing more than one control. The outermost layer is the physical security perimeter: the walls, doors, and barriers that separate the organization's space from public space. Perimeters are kept complete and sound: no unprotected gaps such as a propped fire door or a ground-floor server room behind a window, and doors, walls, and locks in good repair. Life safety comes first: emergency exits stay usable, entry controls never impede escape, and where a security control conflicts with fire or safety requirements, safety prevails.</w:t>
      </w:r>
    </w:p>
    <w:p>
      <w:pPr>
        <w:pStyle w:val="ListBullet"/>
      </w:pPr>
      <w:r>
        <w:t>Inside the perimeter, areas are graded by what they hold, and the more sensitive an area, the stronger its protection. Appendix 1 sets a starting model of physical zones, from public reception to secure areas that hold infrastructure or Confidential information under the Data Handling Policy. Rooms and areas dedicated to servers, network equipment, or bulk records are treated as secure areas: separated from general work areas, locked when unattended, and restricted to the people whose work requires access. A routine device sitting in a general work area, such as a printer or a small network switch, is protected under Section 3.6 instead.</w:t>
      </w:r>
    </w:p>
    <w:p>
      <w:pPr>
        <w:pStyle w:val="ListBullet"/>
      </w:pPr>
      <w:r>
        <w:t xml:space="preserve">Where the organization rents space in a shared or serviced building, the perimeter is the boundary of its own suite or floor; the building's shared controls (lobby, lifts, common entrances) sit outside the organization's control and are covered, where they matter, by the lease or the building operator. Where the organization has no dedicated premises, the home or remote workspace is the working perimeter, and Section 3.8 governs it.</w:t>
      </w:r>
    </w:p>
    <w:p>
      <w:pPr>
        <w:pStyle w:val="Heading2"/>
      </w:pPr>
      <w:r>
        <w:t xml:space="preserve">3.2 Physical Entry and Visitors</w:t>
      </w:r>
    </w:p>
    <w:p>
      <w:r>
        <w:t xml:space="preserve">Entry to the organization's premises and to its secure areas is controlled, so that only the people entitled to be somewhere can get in. Who is entitled to physical access, and the granting and removal of that access when people join, change roles, or leave, is administered under the Access Control Policy alongside their system access; this section covers the entry controls themselves.</w:t>
      </w:r>
    </w:p>
    <w:p>
      <w:pPr>
        <w:pStyle w:val="ListBullet"/>
      </w:pPr>
      <w:r>
        <w:t xml:space="preserve">Each person entering identifies themselves and uses their own means of entry (a badge, key, code, or equivalent). Access credentials are not shared or lent. Where a door code is shared by design, such as a keypad code on a general office door, it is changed whenever someone who knows it leaves or no longer needs access, as the Access Control Policy requires; secure areas use individual credentials.</w:t>
      </w:r>
    </w:p>
    <w:p>
      <w:pPr>
        <w:pStyle w:val="ListBullet"/>
      </w:pPr>
      <w:r>
        <w:t xml:space="preserve">Tailgating (passing through a controlled door on someone else's entry without using your own credential, or holding the door open for someone who has not used theirs) is not allowed. The one exception is a visitor being escorted under this section's visitor rules, as the Acceptable Use Policy also provides. A lost or stolen badge or key is reported immediately (Section 7.0) so the badge can be disabled or the lock rekeyed.</w:t>
      </w:r>
    </w:p>
    <w:p>
      <w:pPr>
        <w:pStyle w:val="ListBullet"/>
      </w:pPr>
      <w:r>
        <w:t xml:space="preserve">Entry to secure areas is recorded, by the access system or a log, so the organization can tell who was in a sensitive area and when. Where a secure area has only a keyed lock and no per-entry record is practical, a record of who holds each key, reviewed </w:t>
      </w:r>
      <w:r>
        <w:rPr>
          <w:highlight w:val="yellow"/>
        </w:rPr>
        <w:t xml:space="preserve">[annually]</w:t>
      </w:r>
      <w:r>
        <w:t xml:space="preserve">, is the entry control. Each person's conduct at secured doors and with visitors is set in the Acceptable Use Policy; this section sets the entry controls that conduct operates within.</w:t>
      </w:r>
    </w:p>
    <w:p>
      <w:pPr>
        <w:pStyle w:val="ListBullet"/>
      </w:pPr>
      <w:r>
        <w:t xml:space="preserve">Visitors (anyone without standing access, including contractors, clients, and delivery and maintenance staff) sign in, are identified, and wear a visitor badge where the organization issues one. They are escorted in non-public areas and are not left alone in secure areas. Delivery and loading points are controlled so that incoming goods do not become a way into secure areas: deliveries are received in a defined area and checked before being brought further in.</w:t>
      </w:r>
    </w:p>
    <w:p>
      <w:pPr>
        <w:pStyle w:val="Heading2"/>
      </w:pPr>
      <w:r>
        <w:t xml:space="preserve">3.3 Physical Security Monitoring</w:t>
      </w:r>
    </w:p>
    <w:p>
      <w:pPr>
        <w:pStyle w:val="ListBullet"/>
      </w:pPr>
      <w:r>
        <w:t xml:space="preserve">Premises and secure areas are monitored for unauthorized physical access, to the degree the organization's risk warrants. Monitoring is some combination of intruder alarms on perimeter and secure-area doors, video surveillance (CCTV) covering entrances and sensitive areas, and staff awareness. The organization chooses the mix from its risk assessment: a single office may rely on an alarm and a door log, while a site holding infrastructure adds cameras.</w:t>
      </w:r>
    </w:p>
    <w:p>
      <w:pPr>
        <w:pStyle w:val="ListBullet"/>
      </w:pPr>
      <w:r>
        <w:t xml:space="preserve">Where the organization uses cameras or alarm records, it protects and retains the footage and logs as security records; the Data Handling Policy governs their classification and retention. It uses them only for security and safety purposes, and within the privacy and employment-law obligations that apply; the Information Security Policy keeps the record of those obligations. Detected or suspected physical intrusion is handled as a security incident (Section 7.0 and the Incident Response Policy). </w:t>
      </w:r>
      <w:r>
        <w:rPr>
          <w:highlight w:val="yellow"/>
        </w:rPr>
        <w:t xml:space="preserve">[Before adoption, have counsel confirm the camera notice rules for each site: many jurisdictions require posted notice that recording is happening, and audio recording often carries stricter rules.]</w:t>
      </w:r>
    </w:p>
    <w:p>
      <w:pPr>
        <w:pStyle w:val="Heading2"/>
      </w:pPr>
      <w:r>
        <w:t xml:space="preserve">3.4 Working in Secure Areas</w:t>
      </w:r>
    </w:p>
    <w:p>
      <w:pPr>
        <w:pStyle w:val="ListBullet"/>
      </w:pPr>
      <w:r>
        <w:t xml:space="preserve">Secure areas (server rooms, communications rooms, records stores, and similar) carry extra rules while people work in them. Access is limited to those whose work requires it.</w:t>
      </w:r>
    </w:p>
    <w:p>
      <w:pPr>
        <w:pStyle w:val="ListBullet"/>
      </w:pPr>
      <w:r>
        <w:t xml:space="preserve">Visitors, and contractors without standing access to the area, do not work in a secure area unaccompanied: someone supervises their work. A third party holding standing access granted under the Access Control Policy may work there unaccompanied; their entry is recorded like anyone else's (Section 3.2).</w:t>
      </w:r>
    </w:p>
    <w:p>
      <w:pPr>
        <w:pStyle w:val="ListBullet"/>
      </w:pPr>
      <w:r>
        <w:t xml:space="preserve">Recording equipment (cameras, including phone cameras, and audio recorders) is used in a secure area only with the Information Security Lead's authorization. Secure areas are locked and checked when the last person leaves, and kept tidy so that anything out of place is noticeable.</w:t>
      </w:r>
    </w:p>
    <w:p>
      <w:pPr>
        <w:pStyle w:val="Heading2"/>
      </w:pPr>
      <w:r>
        <w:t xml:space="preserve">3.5 Protecting Against Physical and Environmental Threats</w:t>
      </w:r>
    </w:p>
    <w:p>
      <w:pPr>
        <w:pStyle w:val="ListBullet"/>
      </w:pPr>
      <w:r>
        <w:t xml:space="preserve">The organization protects its premises and equipment against physical and environmental threats: fire, flood and water, extremes of temperature and humidity, power loss, and, where relevant to the location, natural hazards such as storms or earthquakes. Protection is proportionate to what an area holds and to the local risk. Secure areas holding infrastructure have, as a starting set, fire detection and suitable fire suppression, protection against water ingress, and temperature and humidity kept within the equipment's working range. Temperature and humidity are monitored, and an alert is raised when they move outside that range.</w:t>
      </w:r>
    </w:p>
    <w:p>
      <w:pPr>
        <w:pStyle w:val="ListBullet"/>
      </w:pPr>
      <w:r>
        <w:t>The supporting utilities that equipment depends on (power, cooling, network connectivity, and, where present, water) are protected so that a utility failure does not immediately take systems down or damage them. For infrastructure the organization runs on premises it controls, this means at least surge-protected power and cooling adequate to the load, and, where the risk warrants, backed-up power: an uninterruptible power supply (UPS: a battery unit that keeps equipment running through a short outage) or a generator, sized to allow a safe shutdown or continued operation. Utilities are inspected and tested on a schedule.</w:t>
      </w:r>
    </w:p>
    <w:p>
      <w:pPr>
        <w:pStyle w:val="ListBullet"/>
      </w:pPr>
      <w:r>
        <w:t>Recovering from a physical or environmental incident that disrupts operations is governed by the Business Continuity &amp; Disaster Recovery Plan; this section is about reducing the chance and the impact of such an incident in the first place. Where the organization's infrastructure runs in a provider's facility (cloud or colocation), the provider carries these environmental controls, confirmed through the assessment the Vendor Risk Management Policy requires.</w:t>
      </w:r>
    </w:p>
    <w:p>
      <w:pPr>
        <w:pStyle w:val="Heading2"/>
      </w:pPr>
      <w:r>
        <w:t xml:space="preserve">3.6 Equipment Siting, Cabling, and Maintenance</w:t>
      </w:r>
    </w:p>
    <w:p>
      <w:pPr>
        <w:pStyle w:val="ListBullet"/>
      </w:pPr>
      <w:r>
        <w:t xml:space="preserve">Equipment is sited and protected to reduce the risk of damage, interference, and unauthorized access. Screens that show Confidential information are positioned so they cannot be read by passers-by or through windows (Section 3.7 covers locking them). Equipment is kept away from avoidable hazards (heat, water, dust, and high-traffic areas where it could be knocked or tampered with), and unattended equipment in public or semi-public areas is physically secured or removed.</w:t>
      </w:r>
    </w:p>
    <w:p>
      <w:pPr>
        <w:pStyle w:val="ListBullet"/>
      </w:pPr>
      <w:r>
        <w:t xml:space="preserve">Power and network cabling that carries data or supports services is protected from interception and damage: run out of easy reach where practical, and data cabling kept clear of power cabling to avoid interference. Patch panels and network cabinets in shared or public areas are locked.</w:t>
      </w:r>
    </w:p>
    <w:p>
      <w:pPr>
        <w:pStyle w:val="ListBullet"/>
      </w:pPr>
      <w:r>
        <w:t>Equipment is maintained so that it keeps working safely and securely: maintenance follows the supplier's recommendations, is done by authorized people (an outside maintenance provider is assessed under the Vendor Risk Management Policy), and is recorded. Before equipment leaves the organization's control for off-site repair or return, any storage media in it that holds information the organization is responsible for is removed or sanitized (Section 3.9); the Data Handling Policy requires the same before any return for repair or replacement.</w:t>
      </w:r>
    </w:p>
    <w:p>
      <w:pPr>
        <w:pStyle w:val="Heading2"/>
      </w:pPr>
      <w:r>
        <w:t xml:space="preserve">3.7 Clear Desk and Clear Screen</w:t>
      </w:r>
    </w:p>
    <w:p>
      <w:pPr>
        <w:pStyle w:val="ListBullet"/>
      </w:pPr>
      <w:r>
        <w:t>The organization operates a clear-desk and clear-screen practice, so that an unattended workspace does not expose Confidential information (as classified by the Data Handling Policy). It provides the means: lockable storage (a drawer, cabinet, or room) for papers and removable media, screens positioned as Section 3.6 requires, and, where its printers support one, a secure print-release feature (the printer holds a job until the person releases it at the device) so sensitive documents are not left in output trays. Where someone routinely works with Confidential papers in a home workspace, the organization provides lockable storage for them there too.</w:t>
      </w:r>
    </w:p>
    <w:p>
      <w:pPr>
        <w:pStyle w:val="ListBullet"/>
      </w:pPr>
      <w:r>
        <w:t>Two personal duties make the practice work, and the Acceptable Use Policy sets both for each person: clearing the desk of Confidential papers and media when a workspace is left unattended and at the end of the day, and locking the screen when a device is left unattended (devices also lock themselves after a short period of inactivity, as the Remote Work &amp; Mobile Device Policy requires). They apply wherever people work, the home and remote workspace included: others in the home are not part of the organization, so Confidential information is kept from their view and reach too.</w:t>
      </w:r>
    </w:p>
    <w:p>
      <w:pPr>
        <w:pStyle w:val="Heading2"/>
      </w:pPr>
      <w:r>
        <w:t xml:space="preserve">3.8 Storage Media and Assets Off-Premises</w:t>
      </w:r>
    </w:p>
    <w:p>
      <w:pPr>
        <w:pStyle w:val="ListBullet"/>
      </w:pPr>
      <w:r>
        <w:t>Storage media that holds the organization's information (external drives, USB sticks, memory cards, backup tapes, and paper records) is protected in line with the sensitivity of what it holds. Removable electronic media is organization-approved and encrypted before it first holds the organization's information, as the Acceptable Use Policy requires and to the Encryption Policy's standard; media holding Confidential information is stored locked when not in use. The organization discourages removable media where a managed alternative exists, as the Acceptable Use Policy and the Remote Work &amp; Mobile Device Policy provide. Removable media holding Confidential information is tracked: security operations keeps an inventory of the approved media in circulation and who holds each item, as the Data Handling Policy requires.</w:t>
      </w:r>
    </w:p>
    <w:p>
      <w:pPr>
        <w:pStyle w:val="ListBullet"/>
      </w:pPr>
      <w:r>
        <w:t xml:space="preserve">Equipment and media taken off the organization's premises stay protected off-site. The Remote Work &amp; Mobile Device Policy requires full-disk encryption on the devices used away from the premises, to the Encryption Policy's standard. That encryption reduces the risk that a lost or stolen device becomes a data breach, but it does not replace physical care.</w:t>
      </w:r>
    </w:p>
    <w:p>
      <w:pPr>
        <w:pStyle w:val="ListBullet"/>
      </w:pPr>
      <w:r>
        <w:t xml:space="preserve">The Acceptable Use Policy and the Remote Work &amp; Mobile Device Policy set the personal duties for protecting devices and media away from the premises. The management and configuration of the device itself are governed by the Remote Work &amp; Mobile Device Policy, and its day-to-day use by the Acceptable Use Policy. This section covers the storage media those policies do not.</w:t>
      </w:r>
    </w:p>
    <w:p>
      <w:pPr>
        <w:pStyle w:val="ListBullet"/>
      </w:pPr>
      <w:r>
        <w:t>The equipment and media this section protects are the assets the organization's asset inventory lists; a device or electronic medium that holds information and is not on the inventory is brought onto it, as the Information Security Policy requires. Bulk paper records enter the inventory as grouped entries, such as a records store or an archive cabinet.</w:t>
      </w:r>
    </w:p>
    <w:p>
      <w:pPr>
        <w:pStyle w:val="Heading2"/>
      </w:pPr>
      <w:r>
        <w:t xml:space="preserve">3.9 Secure Disposal and Re-Use</w:t>
      </w:r>
    </w:p>
    <w:p>
      <w:r>
        <w:t>Before equipment or storage media that has held the organization's information is disposed of, sold, returned, or re-used, the information on it, and any licensed software, is removed so that it cannot feasibly be recovered. Whether and when to dispose of the information itself is a Data Handling Policy decision (its retention schedule); this section is about doing the physical disposal securely once that decision is made.</w:t>
      </w:r>
    </w:p>
    <w:p>
      <w:pPr>
        <w:pStyle w:val="ListBullet"/>
      </w:pPr>
      <w:r>
        <w:t xml:space="preserve">Electronic media is sanitized by a method suited to the media and the sensitivity of the data: secure erasure where the media can be reliably erased, and physical destruction where it cannot, by a technique effective for that media, such as disintegration or incineration, or through a destruction service that certifies sanitization.</w:t>
      </w:r>
    </w:p>
    <w:p>
      <w:pPr>
        <w:pStyle w:val="ListBullet"/>
      </w:pPr>
      <w:r>
        <w:t xml:space="preserve">Media that held Confidential information under the Data Handling Policy is erased only by a method verified to remove the data so that it cannot feasibly be recovered, and is destroyed where it cannot be reliably erased.</w:t>
      </w:r>
    </w:p>
    <w:p>
      <w:pPr>
        <w:pStyle w:val="ListBullet"/>
      </w:pPr>
      <w:r>
        <w:t xml:space="preserve">A drive encrypted from its first use can also be sanitized by destroying its encryption keys, since the data is unreadable without them; this counts only when every key that can decrypt any copy of the data is destroyed, as the Encryption Policy requires.</w:t>
      </w:r>
    </w:p>
    <w:p>
      <w:pPr>
        <w:pStyle w:val="ListBullet"/>
      </w:pPr>
      <w:r>
        <w:t xml:space="preserve">Paper records holding Confidential information are cross-cut shredded or destroyed through a secure destruction service. Equipment passed to another user inside the organization is wiped and reset first.</w:t>
      </w:r>
    </w:p>
    <w:p>
      <w:pPr>
        <w:pStyle w:val="ListBullet"/>
      </w:pPr>
      <w:r>
        <w:t xml:space="preserve">Disposal and sanitization are recorded, so the organization can show what happened to a given device or medium; the record is kept with the asset inventory entry the device is retired from. Where a third party carries out destruction or disposal, it does so under a contract the Vendor Risk Management Policy has assessed, and it provides evidence, such as a certificate of destruction, that the organization keeps.</w:t>
      </w:r>
    </w:p>
    <w:p>
      <w:pPr>
        <w:pStyle w:val="Heading1"/>
      </w:pPr>
      <w:r>
        <w:t xml:space="preserve">4.0 Roles and Responsibilities</w:t>
      </w:r>
    </w:p>
    <w:p>
      <w:r>
        <w:t xml:space="preserve">The Information Security Lead owns this policy, sets the physical zone model and the monitoring and environmental measures each site needs from the organization's risk assessment (Sections 3.1, 3.3, and 3.5), keeps the list of secure areas and who may enter them current with the Access Control Policy, and answers questions about what this policy requires.</w:t>
      </w:r>
    </w:p>
    <w:p>
      <w:r>
        <w:t>Whoever manages the organization's premises and equipment (a facilities or office manager, an operations lead, or, in a small organization, the Information Security Lead or a nominated person; the Access Control Policy calls this role the facility owner) puts the physical controls in place and keeps them working: entry controls, monitoring, environmental protection, and the maintenance and testing this policy requires, with records kept where the work is tracked.</w:t>
      </w:r>
    </w:p>
    <w:p>
      <w:r>
        <w:t>Managers make sure their people, and the visitors and contractors they host, follow this policy, that physical access is updated or removed when someone leaves or changes role, under the Access Control Policy, and that organization equipment is returned when someone leaves, as the Acceptable Use Policy requires.</w:t>
      </w:r>
    </w:p>
    <w:p>
      <w:r>
        <w:t xml:space="preserve">Everyone protects the equipment and information in their care, follows the entry, clear-desk, and off-premises rules, challenges or reports people they do not recognize in non-public areas, and reports suspected physical security incidents promptly (Section 7.0).</w:t>
      </w:r>
    </w:p>
    <w:p>
      <w:pPr>
        <w:pStyle w:val="Heading1"/>
      </w:pPr>
      <w:r>
        <w:t xml:space="preserve">5.0 Policy Review and Updates</w:t>
      </w:r>
    </w:p>
    <w:p>
      <w:r>
        <w:t xml:space="preserve">This policy shall be reviewed at least annually, and sooner when the business, technology, regulations, or the threat environment change significantly. The Information Security Lead starts the review, and Executive Management approves changes before they take effect, following the review process in the Information Security Policy.</w:t>
      </w:r>
    </w:p>
    <w:p>
      <w:pPr>
        <w:pStyle w:val="Heading1"/>
      </w:pPr>
      <w:r>
        <w:t xml:space="preserve">6.0 Exceptions</w:t>
      </w:r>
    </w:p>
    <w:p>
      <w:r>
        <w:t xml:space="preserve">Any planned deviation from this policy requires a documented exception, requested and approved through the exception process in the Information Security Policy. Submit the request in writing to the Information Security Lead. Describe the business reason, what the exception covers, how long it is needed, and any temporary safeguards that reduce the risk. Exceptions expire and are reviewed under that process.</w:t>
      </w:r>
    </w:p>
    <w:p>
      <w:r>
        <w:t xml:space="preserve">An exception documents a temporary gap that stays subject to expiry and review. A gap that is discovered rather than planned is reported and handled first (see Section 7.0); if it must stay open afterward, an exception is requested promptly. A deviation someone chose to make without approval, or a discovered gap kept outside this process, is a violation (see Section 8.0).</w:t>
      </w:r>
    </w:p>
    <w:p>
      <w:pPr>
        <w:pStyle w:val="Heading1"/>
      </w:pPr>
      <w:r>
        <w:t xml:space="preserve">7.0 Reporting Security Incidents and Concerns</w:t>
      </w:r>
    </w:p>
    <w:p>
      <w:r>
        <w:t>Promptly report a suspected physical security incident: a forced, propped, or malfunctioning door; a person you do not recognize in a non-public area; tailgating; a break-in or attempted break-in; and other security concerns. Report a lost or stolen badge, key, device, or storage medium immediately; the Acceptable Use Policy and the Remote Work &amp; Mobile Device Policy require the same of a lost or stolen device. Use the incident reporting contacts kept in the Information Security Policy (its Appendix 1). A report to any manager counts; the manager passes it to those contacts. Failing to report a security incident you know about or reasonably suspect is itself a policy violation (see Section 8.0).</w:t>
      </w:r>
    </w:p>
    <w:p>
      <w:r>
        <w:rPr>
          <w:highlight w:val="yellow"/>
        </w:rPr>
        <w:t xml:space="preserve">[No one is punished for the act of making a good-faith report; the report itself is never the offense. An honest mistake reported promptly is treated more leniently than one concealed, and a late report is treated more leniently than none. Any discipline for the underlying conduct follows Section 8.0.]</w:t>
      </w:r>
    </w:p>
    <w:p>
      <w:pPr>
        <w:pStyle w:val="Heading1"/>
      </w:pPr>
      <w:r>
        <w:t xml:space="preserve">8.0 Violations and Disciplinary Action</w:t>
      </w:r>
    </w:p>
    <w:p>
      <w:r>
        <w:t xml:space="preserve">Anyone who violates this policy can face disciplinary action, up to and including termination of employment or contract, and legal action where applicable. The response to a violation will depend on its severity, its impact on the organization's security, and any legal or regulatory requirements.</w:t>
      </w:r>
    </w:p>
    <w:p>
      <w:pPr>
        <w:pStyle w:val="Heading1"/>
      </w:pPr>
      <w:r>
        <w:t xml:space="preserve">9.0 Related Policies and Standards</w:t>
      </w:r>
    </w:p>
    <w:p>
      <w:r>
        <w:t xml:space="preserve">This policy is a supporting policy of the Information Security Policy, the top-level document of the organization's information security policy set. This policy may set stricter rules; a stricter rule is not a conflict. If this policy contradicts the Information Security Policy, the Information Security Policy prevails.</w:t>
      </w:r>
    </w:p>
    <w:p>
      <w:r>
        <w:t xml:space="preserve">It works alongside these policies:</w:t>
      </w:r>
    </w:p>
    <w:p>
      <w:pPr>
        <w:pStyle w:val="ListBullet"/>
      </w:pPr>
      <w:r>
        <w:t xml:space="preserve">The Access Control Policy: it administers who holds physical access rights and grants and removes them as people join, move, and leave; this policy sets the entry controls those rights operate within.</w:t>
      </w:r>
    </w:p>
    <w:p>
      <w:pPr>
        <w:pStyle w:val="ListBullet"/>
      </w:pPr>
      <w:r>
        <w:t xml:space="preserve">The Acceptable Use Policy: the personal duties this policy relies on, namely clearing desks, locking screens, not tailgating, and protecting devices away from the premises.</w:t>
      </w:r>
    </w:p>
    <w:p>
      <w:pPr>
        <w:pStyle w:val="ListBullet"/>
      </w:pPr>
      <w:r>
        <w:t xml:space="preserve">The Data Handling Policy: it classifies the information that physical protection, media handling, and secure disposal are sized to, and sets when information is disposed of.</w:t>
      </w:r>
    </w:p>
    <w:p>
      <w:pPr>
        <w:pStyle w:val="ListBullet"/>
      </w:pPr>
      <w:r>
        <w:t xml:space="preserve">The Remote Work &amp; Mobile Device Policy: it governs the devices used away from the premises; this policy covers those devices' physical protection and the storage media they use.</w:t>
      </w:r>
    </w:p>
    <w:p>
      <w:pPr>
        <w:pStyle w:val="ListBullet"/>
      </w:pPr>
      <w:r>
        <w:t xml:space="preserve">The Encryption Policy: it encrypts the portable devices and media this policy protects, reducing what a lost or stolen device exposes.</w:t>
      </w:r>
    </w:p>
    <w:p>
      <w:pPr>
        <w:pStyle w:val="ListBullet"/>
      </w:pPr>
      <w:r>
        <w:t xml:space="preserve">The Vendor Risk Management Policy: it assesses the cloud, data-center, maintenance, and destruction providers this policy relies on.</w:t>
      </w:r>
    </w:p>
    <w:p>
      <w:pPr>
        <w:pStyle w:val="ListBullet"/>
      </w:pPr>
      <w:r>
        <w:t xml:space="preserve">The Incident Response Policy: it runs a detected or suspected physical intrusion as a security incident.</w:t>
      </w:r>
    </w:p>
    <w:p>
      <w:pPr>
        <w:pStyle w:val="ListBullet"/>
      </w:pPr>
      <w:r>
        <w:t xml:space="preserve">The Business Continuity &amp; Disaster Recovery Plan: it restores operations after a physical or environmental incident this policy works to prevent.</w:t>
      </w:r>
    </w:p>
    <w:p>
      <w:r>
        <w:t xml:space="preserve">Where any of these does not exist yet, treat it as a roadmap item; the rules in this policy apply on their own regardless.</w:t>
      </w:r>
    </w:p>
    <w:p>
      <w:r>
        <w:t xml:space="preserve">At a policy level, these rules put into practice the physical controls of ISO/IEC 27001:2022 Annex A, section 7 (Physical controls): controls 7.1 (physical security perimeters), 7.2 (physical entry), 7.3 (securing offices, rooms and facilities), 7.4 (physical security monitoring), 7.5 (protecting against physical and environmental threats), 7.6 (working in secure areas), 7.7 (clear desk and clear screen), 7.8 (equipment siting and protection), 7.9 (security of assets off-premises), 7.10 (storage media), 7.11 (supporting utilities), 7.12 (cabling security), 7.13 (equipment maintenance), and 7.14 (secure disposal or re-use of equipment).</w:t>
      </w:r>
    </w:p>
    <w:p>
      <w:r>
        <w:t xml:space="preserve">They support the Protect function of the NIST Cybersecurity Framework 2.0, in particular the outcomes that physical access to assets is managed, monitored, and enforced commensurate with risk (PR.AA-06) and that the organization's technology assets are protected from environmental threats (PR.IR-02). The monitoring in Section 3.3 also carries the Framework's Detect outcome that the physical environment is monitored to find potentially adverse events (DE.CM-02).</w:t>
      </w:r>
    </w:p>
    <w:p>
      <w:r>
        <w:t xml:space="preserve">For a control catalog at implementation depth, they align with the Physical and Environmental Protection (PE) control family of NIST Special Publication 800-53.</w:t>
      </w:r>
    </w:p>
    <w:p>
      <w:pPr>
        <w:pStyle w:val="Heading1"/>
      </w:pPr>
      <w:r>
        <w:t xml:space="preserve">Appendix 1: Physical Security Zones</w:t>
      </w:r>
    </w:p>
    <w:p>
      <w:r>
        <w:t xml:space="preserve">This table is a starting model for grading physical areas; the rules in Sections 3.1 to 3.9 govern. Set it to the premises the organization actually has, and delete the rows that do not apply. The policy body uses "secure areas" for the Controlled (sensitive areas) and Secure zones below. A single-office organization may keep only the first two or three zones. An organization with no premises of its own may not need this table at all: under Section 3.1 it treats each home or remote workspace as the working perimeter instead, and records the site sections as not applicable.</w:t>
      </w:r>
    </w:p>
    <w:tbl>
      <w:tblPr>
        <w:tblStyle w:val="TableGrid"/>
        <w:tblW w:type="auto" w:w="0"/>
        <w:tblLook w:firstColumn="1" w:firstRow="1" w:lastColumn="0" w:lastRow="0" w:noHBand="0" w:noVBand="1" w:val="04A0"/>
      </w:tblPr>
      <w:tblGrid>
        <w:gridCol w:w="2200"/>
        <w:gridCol w:w="4600"/>
        <w:gridCol w:w="4000"/>
      </w:tblGrid>
      <w:tr>
        <w:trPr>
          <w:cantSplit/>
          <w:tblHeader/>
        </w:trPr>
        <w:tc>
          <w:tcPr>
            <w:tcW w:type="dxa" w:w="2200"/>
          </w:tcPr>
          <w:p>
            <w:r>
              <w:rPr>
                <w:b/>
              </w:rPr>
              <w:t xml:space="preserve">Zone</w:t>
            </w:r>
          </w:p>
        </w:tc>
        <w:tc>
          <w:tcPr>
            <w:tcW w:type="dxa" w:w="4600"/>
          </w:tcPr>
          <w:p>
            <w:r>
              <w:rPr>
                <w:b/>
              </w:rPr>
              <w:t xml:space="preserve">What it holds</w:t>
            </w:r>
          </w:p>
        </w:tc>
        <w:tc>
          <w:tcPr>
            <w:tcW w:type="dxa" w:w="4000"/>
          </w:tcPr>
          <w:p>
            <w:r>
              <w:rPr>
                <w:b/>
              </w:rPr>
              <w:t xml:space="preserve">Entry and controls</w:t>
            </w:r>
          </w:p>
        </w:tc>
      </w:tr>
      <w:tr>
        <w:trPr>
          <w:cantSplit/>
        </w:trPr>
        <w:tc>
          <w:tcPr>
            <w:tcW w:type="dxa" w:w="2200"/>
          </w:tcPr>
          <w:p>
            <w:r>
              <w:t xml:space="preserve">Public</w:t>
            </w:r>
          </w:p>
        </w:tc>
        <w:tc>
          <w:tcPr>
            <w:tcW w:type="dxa" w:w="4600"/>
          </w:tcPr>
          <w:p>
            <w:r>
              <w:t xml:space="preserve">Areas open to people before check-in: street frontage, reception or lobby. No unescorted access to organization information or equipment.</w:t>
            </w:r>
          </w:p>
        </w:tc>
        <w:tc>
          <w:tcPr>
            <w:tcW w:type="dxa" w:w="4000"/>
          </w:tcPr>
          <w:p>
            <w:r>
              <w:t xml:space="preserve">Open or staffed; no organization information on show; reception signs in and directs visitors.</w:t>
            </w:r>
          </w:p>
        </w:tc>
      </w:tr>
      <w:tr>
        <w:trPr>
          <w:cantSplit/>
        </w:trPr>
        <w:tc>
          <w:tcPr>
            <w:tcW w:type="dxa" w:w="2200"/>
          </w:tcPr>
          <w:p>
            <w:r>
              <w:t xml:space="preserve">Controlled (general work areas)</w:t>
            </w:r>
          </w:p>
        </w:tc>
        <w:tc>
          <w:tcPr>
            <w:tcW w:type="dxa" w:w="4600"/>
          </w:tcPr>
          <w:p>
            <w:r>
              <w:t xml:space="preserve">Offices and general workspaces where staff handle day-to-day information.</w:t>
            </w:r>
          </w:p>
        </w:tc>
        <w:tc>
          <w:tcPr>
            <w:tcW w:type="dxa" w:w="4000"/>
          </w:tcPr>
          <w:p>
            <w:r>
              <w:t xml:space="preserve">Badge, key, or code entry; staff and escorted visitors only; clear desk and clear screen (Section 3.7).</w:t>
            </w:r>
          </w:p>
        </w:tc>
      </w:tr>
      <w:tr>
        <w:trPr>
          <w:cantSplit/>
        </w:trPr>
        <w:tc>
          <w:tcPr>
            <w:tcW w:type="dxa" w:w="2200"/>
          </w:tcPr>
          <w:p>
            <w:r>
              <w:t xml:space="preserve">Controlled (sensitive areas)</w:t>
            </w:r>
          </w:p>
        </w:tc>
        <w:tc>
          <w:tcPr>
            <w:tcW w:type="dxa" w:w="4600"/>
          </w:tcPr>
          <w:p>
            <w:r>
              <w:t xml:space="preserve">Areas holding Confidential information or the equipment that serves it: records stores, communications rooms, wiring closets.</w:t>
            </w:r>
          </w:p>
        </w:tc>
        <w:tc>
          <w:tcPr>
            <w:tcW w:type="dxa" w:w="4000"/>
          </w:tcPr>
          <w:p>
            <w:r>
              <w:t xml:space="preserve">Named access only, recorded; locked when unattended; visitors escorted and logged.</w:t>
            </w:r>
          </w:p>
        </w:tc>
      </w:tr>
      <w:tr>
        <w:trPr>
          <w:cantSplit/>
        </w:trPr>
        <w:tc>
          <w:tcPr>
            <w:tcW w:type="dxa" w:w="2200"/>
          </w:tcPr>
          <w:p>
            <w:r>
              <w:t xml:space="preserve">Secure (infrastructure / high-security)</w:t>
            </w:r>
          </w:p>
        </w:tc>
        <w:tc>
          <w:tcPr>
            <w:tcW w:type="dxa" w:w="4600"/>
          </w:tcPr>
          <w:p>
            <w:r>
              <w:t>Server or data rooms, or any other area dedicated to the organization's own infrastructure.</w:t>
            </w:r>
          </w:p>
        </w:tc>
        <w:tc>
          <w:tcPr>
            <w:tcW w:type="dxa" w:w="4000"/>
          </w:tcPr>
          <w:p>
            <w:r>
              <w:t xml:space="preserve">Named access only, recorded; monitoring (Section 3.3); environmental protection (Section 3.5); no unauthorized recording (Section 3.4).</w:t>
            </w:r>
          </w:p>
        </w:tc>
      </w:tr>
    </w:tbl>
    <w:p>
      <w:pPr>
        <w:spacing w:before="0" w:after="0" w:line="20" w:lineRule="exact"/>
        <w:rPr>
          <w:sz w:val="4"/>
          <w:szCs w:val="4"/>
        </w:rPr>
      </w:pP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 xml:space="preserve">Physical and Environmental Security Policy | Page </w:t>
    </w:r>
    <w:r>
      <w:rPr>
        <w:sz w:val="18"/>
      </w:rPr>
      <w:fldChar w:fldCharType="begin"/>
      <w:instrText xml:space="preserve">PAGE</w:instrText>
      <w:fldChar w:fldCharType="end"/>
    </w:r>
    <w:r>
      <w:rPr>
        <w:sz w:val="18"/>
      </w:rPr>
      <w:t xml:space="preserve"> of </w:t>
    </w:r>
    <w:r>
      <w:rPr>
        <w:sz w:val="18"/>
      </w:rPr>
      <w:fldChar w:fldCharType="begin"/>
      <w:instrText xml:space="preserve">NUMPAGES</w:instrText>
      <w:fldChar w:fldCharType="end"/>
    </w:r>
    <w:r>
      <w:rPr>
        <w:sz w:val="18"/>
      </w:rPr>
      <w:t xml:space="preserve"> | anobytes.com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720"/>
        </w:tabs>
        <w:ind w:left="72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Arial" w:hAnsi="Arial" w:cs="Arial"/>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eastAsiaTheme="majorEastAsia" w:ascii="Arial" w:hAnsi="Arial" w:cs="Arial"/>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eastAsiaTheme="majorEastAsia" w:ascii="Arial" w:hAnsi="Arial" w:cs="Arial"/>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eastAsiaTheme="majorEastAsia" w:ascii="Arial" w:hAnsi="Arial" w:cs="Arial"/>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rPr>
      <w:rFonts w:ascii="Arial" w:hAnsi="Arial" w:cs="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3952</Words>
  <Characters>21874</Characters>
  <DocSecurity>0</DocSecurity>
  <Lines>148</Lines>
  <Paragraphs>99</Paragraphs>
  <ScaleCrop>false</ScaleCrop>
  <HeadingPairs>
    <vt:vector size="2" baseType="variant">
      <vt:variant>
        <vt:lpstr>Title</vt:lpstr>
      </vt:variant>
      <vt:variant>
        <vt:i4>1</vt:i4>
      </vt:variant>
    </vt:vector>
  </HeadingPairs>
  <TitlesOfParts>
    <vt:vector size="1" baseType="lpstr">
      <vt:lpstr>Physical and Environmental Security Policy</vt:lpstr>
    </vt:vector>
  </TitlesOfParts>
  <Manager/>
  <Company>anoBytes Technology Solutions LLC</Company>
  <LinksUpToDate>false</LinksUpToDate>
  <CharactersWithSpaces>25825</CharactersWithSpaces>
  <SharedDoc>false</SharedDoc>
  <HyperlinkBase/>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dc:title>Physical and Environmental Security Policy</dc:title>
  <dc:subject>Physical and environmental security policy template</dc:subject>
  <dc:creator>Nelson Pereira, anoBytes Technology Solutions LLC</dc:creator>
  <cp:keywords>physical access, entry controls, badge, tailgating, visitors, cctv, perimeter, premises, supporting utilities, power, ups, cabling, paper records, storage media, unattended, remote workspace, sensitive areas, server room</cp:keywords>
  <dc:description>The physical and environmental security companion to our security policy set: secure areas and entry, monitoring, protection against environmental and utility threats, equipment and media handling, clear desk and clear screen, and secure disposal. Free to adapt for your organization.</dc:description>
  <cp:lastModifiedBy/>
  <cp:revision>1</cp:revision>
  <dcterms:created xsi:type="dcterms:W3CDTF">2026-07-20T12:00:00Z</dcterms:created>
  <dcterms:modified xsi:type="dcterms:W3CDTF">2026-08-06T00:00:00Z</dcterms:modified>
  <cp:category>Template</cp:category>
</cp:coreProperties>
</file>