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Secure Development Policy</w:t>
      </w:r>
    </w:p>
    <w:p>
      <w:r>
        <w:rPr>
          <w:b/>
        </w:rPr>
        <w:t xml:space="preserve">Document Control</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Document title</w:t>
            </w:r>
          </w:p>
        </w:tc>
        <w:tc>
          <w:tcPr>
            <w:tcW w:type="dxa" w:w="5400"/>
          </w:tcPr>
          <w:p>
            <w:r>
              <w:t xml:space="preserve">Secure Development Policy</w:t>
            </w:r>
          </w:p>
        </w:tc>
      </w:tr>
      <w:tr>
        <w:tc>
          <w:tcPr>
            <w:tcW w:type="dxa" w:w="5400"/>
          </w:tcPr>
          <w:p>
            <w:r>
              <w:rPr>
                <w:b/>
              </w:rPr>
              <w:t xml:space="preserve">Version</w:t>
            </w:r>
          </w:p>
        </w:tc>
        <w:tc>
          <w:tcPr>
            <w:tcW w:type="dxa" w:w="5400"/>
          </w:tcPr>
          <w:p>
            <w:r>
              <w:t xml:space="preserve">1.0</w:t>
            </w:r>
          </w:p>
        </w:tc>
      </w:tr>
      <w:tr>
        <w:tc>
          <w:tcPr>
            <w:tcW w:type="dxa" w:w="5400"/>
          </w:tcPr>
          <w:p>
            <w:r>
              <w:rPr>
                <w:b/>
              </w:rPr>
              <w:t xml:space="preserve">Document owner</w:t>
            </w:r>
          </w:p>
        </w:tc>
        <w:tc>
          <w:tcPr>
            <w:tcW w:type="dxa" w:w="5400"/>
          </w:tcPr>
          <w:p>
            <w:r>
              <w:t xml:space="preserve">Information Security Lead</w:t>
            </w:r>
          </w:p>
        </w:tc>
      </w:tr>
      <w:tr>
        <w:tc>
          <w:tcPr>
            <w:tcW w:type="dxa" w:w="5400"/>
          </w:tcPr>
          <w:p>
            <w:r>
              <w:rPr>
                <w:b/>
              </w:rPr>
              <w:t xml:space="preserve">Approved by</w:t>
            </w:r>
          </w:p>
        </w:tc>
        <w:tc>
          <w:tcPr>
            <w:tcW w:type="dxa" w:w="5400"/>
          </w:tcPr>
          <w:p>
            <w:r>
              <w:rPr>
                <w:highlight w:val="yellow"/>
              </w:rPr>
              <w:t xml:space="preserve">[Name and title, e.g., Chief Executive Officer]</w:t>
            </w:r>
          </w:p>
        </w:tc>
      </w:tr>
      <w:tr>
        <w:tc>
          <w:tcPr>
            <w:tcW w:type="dxa" w:w="5400"/>
          </w:tcPr>
          <w:p>
            <w:r>
              <w:rPr>
                <w:b/>
              </w:rPr>
              <w:t xml:space="preserve">Effective date</w:t>
            </w:r>
          </w:p>
        </w:tc>
        <w:tc>
          <w:tcPr>
            <w:tcW w:type="dxa" w:w="5400"/>
          </w:tcPr>
          <w:p>
            <w:r>
              <w:rPr>
                <w:highlight w:val="yellow"/>
              </w:rPr>
              <w:t xml:space="preserve">[Date]</w:t>
            </w:r>
          </w:p>
        </w:tc>
      </w:tr>
      <w:tr>
        <w:tc>
          <w:tcPr>
            <w:tcW w:type="dxa" w:w="5400"/>
          </w:tcPr>
          <w:p>
            <w:r>
              <w:rPr>
                <w:b/>
              </w:rPr>
              <w:t xml:space="preserve">Next review date</w:t>
            </w:r>
          </w:p>
        </w:tc>
        <w:tc>
          <w:tcPr>
            <w:tcW w:type="dxa" w:w="5400"/>
          </w:tcPr>
          <w:p>
            <w:r>
              <w:rPr>
                <w:highlight w:val="yellow"/>
              </w:rPr>
              <w:t xml:space="preserve">[Date, no later than one year after the effective date]</w:t>
            </w:r>
          </w:p>
        </w:tc>
      </w:tr>
      <w:tr>
        <w:tc>
          <w:tcPr>
            <w:tcW w:type="dxa" w:w="5400"/>
          </w:tcPr>
          <w:p>
            <w:r>
              <w:rPr>
                <w:b/>
              </w:rPr>
              <w:t xml:space="preserve">Classification</w:t>
            </w:r>
          </w:p>
        </w:tc>
        <w:tc>
          <w:tcPr>
            <w:tcW w:type="dxa" w:w="5400"/>
          </w:tcPr>
          <w:p>
            <w:r>
              <w:rPr>
                <w:highlight w:val="yellow"/>
              </w:rPr>
              <w:t xml:space="preserve">[e.g., Internal (shareable with customers and auditors on request)]</w:t>
            </w:r>
          </w:p>
        </w:tc>
      </w:tr>
    </w:tbl>
    <w:p>
      <w:r>
        <w:rPr>
          <w:b/>
        </w:rPr>
        <w:t xml:space="preserve">Revision History</w:t>
      </w:r>
    </w:p>
    <w:tbl>
      <w:tblPr>
        <w:tblStyle w:val="TableGrid"/>
        <w:tblW w:type="auto" w:w="0"/>
        <w:tblLook w:firstColumn="1" w:firstRow="1" w:lastColumn="0" w:lastRow="0" w:noHBand="0" w:noVBand="1" w:val="04A0"/>
      </w:tblPr>
      <w:tblGrid>
        <w:gridCol w:w="1440"/>
        <w:gridCol w:w="2520"/>
        <w:gridCol w:w="6840"/>
      </w:tblGrid>
      <w:tr>
        <w:tc>
          <w:tcPr>
            <w:tcW w:type="dxa" w:w="1440"/>
          </w:tcPr>
          <w:p>
            <w:r>
              <w:rPr>
                <w:b/>
              </w:rPr>
              <w:t xml:space="preserve">Version</w:t>
            </w:r>
          </w:p>
        </w:tc>
        <w:tc>
          <w:tcPr>
            <w:tcW w:type="dxa" w:w="2520"/>
          </w:tcPr>
          <w:p>
            <w:r>
              <w:rPr>
                <w:b/>
              </w:rPr>
              <w:t xml:space="preserve">Date</w:t>
            </w:r>
          </w:p>
        </w:tc>
        <w:tc>
          <w:tcPr>
            <w:tcW w:type="dxa" w:w="6840"/>
          </w:tcPr>
          <w:p>
            <w:r>
              <w:rPr>
                <w:b/>
              </w:rPr>
              <w:t xml:space="preserve">Summary of changes</w:t>
            </w:r>
          </w:p>
        </w:tc>
      </w:tr>
      <w:tr>
        <w:tc>
          <w:tcPr>
            <w:tcW w:type="dxa" w:w="1440"/>
          </w:tcPr>
          <w:p>
            <w:r>
              <w:t xml:space="preserve">1.0</w:t>
            </w:r>
          </w:p>
        </w:tc>
        <w:tc>
          <w:tcPr>
            <w:tcW w:type="dxa" w:w="2520"/>
          </w:tcPr>
          <w:p>
            <w:r>
              <w:rPr>
                <w:highlight w:val="yellow"/>
              </w:rPr>
              <w:t xml:space="preserve">[Date]</w:t>
            </w:r>
          </w:p>
        </w:tc>
        <w:tc>
          <w:tcPr>
            <w:tcW w:type="dxa" w:w="6840"/>
          </w:tcPr>
          <w:p>
            <w:r>
              <w:t xml:space="preserve">Initial version.</w:t>
            </w:r>
          </w:p>
        </w:tc>
      </w:tr>
    </w:tbl>
    <w:p>
      <w:pPr>
        <w:pStyle w:val="Heading1"/>
      </w:pPr>
      <w:r>
        <w:t xml:space="preserve">1.0 Purpose</w:t>
      </w:r>
    </w:p>
    <w:p>
      <w:r>
        <w:t xml:space="preserve">This policy sets how </w:t>
      </w:r>
      <w:r>
        <w:rPr>
          <w:highlight w:val="yellow"/>
        </w:rPr>
        <w:t xml:space="preserve">[Company Name]</w:t>
      </w:r>
      <w:r>
        <w:t xml:space="preserve"> ("the organization") builds software and systems securely, so that security is designed in from the start. Those practices, from design through release and maintenance, are the secure development life cycle (SDLC).</w:t>
      </w:r>
    </w:p>
    <w:p>
      <w:r>
        <w:t xml:space="preserve">This policy is a supporting policy of the organization's Information Security Policy; Section 9.0 maps the frameworks it puts into practice.</w:t>
      </w:r>
    </w:p>
    <w:p>
      <w:pPr>
        <w:pStyle w:val="Heading1"/>
      </w:pPr>
      <w:r>
        <w:t xml:space="preserve">2.0 Scope</w:t>
      </w:r>
    </w:p>
    <w:p>
      <w:r>
        <w:rPr/>
        <w:t xml:space="preserve">This policy applies whenever software or systems are developed by or for the organization: applications and services, scripts and automation (small programs written to automate a task), infrastructure built as code (server and cloud setups written as configuration files), and significant customization of purchased software. It also applies to low-code and no-code tools (app and workflow builders that need little or no programming); in this policy, code includes what such a tool builds: a flow, an app, or a workflow definition.</w:t>
      </w:r>
    </w:p>
    <w:p>
      <w:r>
        <w:rPr/>
        <w:t xml:space="preserve">Using a spreadsheet's ordinary functions to calculate is not development. Building a tool or an automation that stores, moves, or protects information the organization is responsible for is development. When in doubt, treat the work as development. This policy governs everyone who does that work: employees, contractors, and vendors developing for the organization (Section 3.7).</w:t>
      </w:r>
    </w:p>
    <w:p>
      <w:r>
        <w:rPr/>
        <w:t>Neighboring work has its own policy. Releasing a change to production (the live systems people rely on), including the pipeline (the release path that builds, tests, and deploys changes), follows the Change Management Policy. Fixing vulnerabilities (weaknesses an attacker could use) in systems already running follows the Vulnerability Management Policy. Access to systems and code follows the Access Control Policy, and the cryptography the software uses follows the Encryption Policy. An organization that develops nothing today can defer this policy: until the first script, automation, low-code build, or customization, the acquisition questions run inside the Vendor Risk Management Policy's assessment, and Section 3.7's rules apply from the first development by others. At each annual review under the Information Security Policy, the Information Security Lead records whether development has started.</w:t>
      </w:r>
    </w:p>
    <w:p>
      <w:pPr>
        <w:pStyle w:val="Heading1"/>
      </w:pPr>
      <w:r>
        <w:t xml:space="preserve">3.0 Policy Statements</w:t>
      </w:r>
    </w:p>
    <w:p>
      <w:r>
        <w:t xml:space="preserve">Throughout this policy, a statement of what the organization or its people do ("is encrypted", "are recorded") is a requirement, as are "must", "shall", and direct instructions such as "use only" or "never". The words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 xml:space="preserve">3.1 Security from the Start</w:t>
      </w:r>
    </w:p>
    <w:p>
      <w:pPr>
        <w:pStyle w:val="ListBullet"/>
      </w:pPr>
      <w:r>
        <w:rPr/>
        <w:t>Every piece of development work states its security requirements before building starts: what the software must protect, who may use it, and what it must never allow. For an application, the requirements are chosen from the organization's application security baseline (Section 3.4), so no one has to invent them from scratch. For any other work, from a small script to infrastructure built as code, answering those three questions is enough, and no separate record is needed beyond the work's own notes. For an application or a significant change, the requirements are written down with the work, wherever the work itself is tracked: the ticket, the project page, or the code repository (Section 3.6). Meeting them is part of the work.</w:t>
      </w:r>
    </w:p>
    <w:p>
      <w:pPr>
        <w:pStyle w:val="ListBullet"/>
      </w:pPr>
      <w:r>
        <w:rPr/>
        <w:t>Before building, the people designing the work ask what could go wrong: who would attack this, what would they be after, and where could it break? That session is threat modeling. It is done during design for every new system and for a significant change. It is also done for a change that reworks how an existing system handles sign-in, access, or Confidential information under the Data Handling Policy. A whiteboard session is often enough, with more time spent where the system carries more risk. The conclusions are recorded with the work, and one page is acceptable; the answers become security requirements.</w:t>
      </w:r>
    </w:p>
    <w:p>
      <w:pPr>
        <w:pStyle w:val="ListBullet"/>
      </w:pPr>
      <w:r>
        <w:t xml:space="preserve">A change is </w:t>
      </w:r>
      <w:r>
        <w:rPr>
          <w:b/>
        </w:rPr>
        <w:t xml:space="preserve">significant</w:t>
      </w:r>
      <w:r>
        <w:t xml:space="preserve"> when it alters what the software must protect, who may use it, or what it must never allow: new data stored, new users or roles, a new integration (a connection to another system), or new internet exposure. Whoever leads development makes the call; when in doubt, treat the change as significant. Keep these criteria consistent with the written definition of a significant change Executive Management keeps under the Information Security Policy. Where the work adds an AI feature, the threat modeling session also asks what that feature could be made to do with a hostile input, and the risks are assessed under the Information Security Policy's risk process, as that policy provides.</w:t>
      </w:r>
    </w:p>
    <w:p>
      <w:pPr>
        <w:pStyle w:val="ListBullet"/>
      </w:pPr>
      <w:r>
        <w:t xml:space="preserve">Security requirements apply when acquiring software too. Before adopting or buying an application that will handle the organization's information, the same what-must-it-protect and what-could-go-wrong questions are asked of it, within the security assessment the Vendor Risk Management Policy requires.</w:t>
      </w:r>
    </w:p>
    <w:p>
      <w:pPr>
        <w:pStyle w:val="ListBullet"/>
      </w:pPr>
      <w:r>
        <w:t xml:space="preserve">Systems are designed on established security principles: give each part the least access it needs, check every input, fail closed (when something breaks, it denies access rather than allows it), and never rely on secrecy of the design as the protection. These four are the organization's starting list. The Information Security Lead keeps the list current as the organization's technology changes, and records it with the secure coding guidance (Section 3.2).</w:t>
      </w:r>
    </w:p>
    <w:p>
      <w:pPr>
        <w:pStyle w:val="Heading2"/>
      </w:pPr>
      <w:r>
        <w:t xml:space="preserve">3.2 Secure Coding</w:t>
      </w:r>
    </w:p>
    <w:p>
      <w:pPr>
        <w:pStyle w:val="ListBullet"/>
      </w:pPr>
      <w:r>
        <w:t xml:space="preserve">Code follows </w:t>
      </w:r>
      <w:r>
        <w:rPr>
          <w:b/>
        </w:rPr>
        <w:t xml:space="preserve">secure coding</w:t>
      </w:r>
      <w:r>
        <w:t xml:space="preserve"> practices: the well-known mistakes that let attackers in are avoided by habit, and review checks for them. The classic mistakes are trusting whatever input arrives (unchecked input), showing saved text on a page without neutralizing it (unescaped output), building database commands by gluing user text into them (string-built queries), and writing passwords or keys into the code itself (hard-coded secrets). The Information Security Lead designates the secure coding guidance the organization follows, matched to its languages and platforms.</w:t>
      </w:r>
    </w:p>
    <w:p>
      <w:pPr>
        <w:pStyle w:val="ListBullet"/>
      </w:pPr>
      <w:r>
        <w:rPr/>
        <w:t xml:space="preserve">Before a change to code reaches production, it is reviewed (the emergency path below is the one exception), and the review covers security as well as correctness, including whether the change meets its security requirements (Section 3.1). Wherever the organization has a second person who can read code, the reviewer is someone who did not write the change. The Change Management Policy's approval rules apply on top: the person who makes a change never approves it.</w:t>
      </w:r>
    </w:p>
    <w:p>
      <w:pPr>
        <w:pStyle w:val="ListBullet"/>
      </w:pPr>
      <w:r>
        <w:rPr/>
        <w:t xml:space="preserve">Where no one else in the organization can read code, the developer walks the change approver through the change and its test results before release, and the change record notes that walk-through as the review. For internet-facing software built with only a walk-through review, the independent penetration test (Section 3.4) is the outside check on what was built.</w:t>
      </w:r>
    </w:p>
    <w:p>
      <w:pPr>
        <w:pStyle w:val="ListBullet"/>
      </w:pPr>
      <w:r>
        <w:rPr/>
        <w:t xml:space="preserve">The review is recorded: in the merge request (the request to merge the change into the shared code) where a pipeline exists, or in the change record where none does. A fix released as an emergency change under the Change Management Policy is reviewed as soon as a reviewer is available, at latest within </w:t>
      </w:r>
      <w:r>
        <w:rPr>
          <w:highlight w:val="yellow"/>
        </w:rPr>
        <w:t>[2 business days]</w:t>
      </w:r>
      <w:r>
        <w:rPr/>
        <w:t xml:space="preserve"> (keep this value matched to the Change Management Policy's deadline for completing the emergency change record). Where no one else can read code, the walk-through above happens in the same window. The change record says the review followed the release. If the review finds a problem, the follow-up is a change under the Change Management Policy. A vulnerability the fix introduced is reported under Section 7.0.</w:t>
      </w:r>
    </w:p>
    <w:p>
      <w:pPr>
        <w:pStyle w:val="ListBullet"/>
      </w:pPr>
      <w:r>
        <w:t xml:space="preserve">Code a tool or an AI agent writes counts as written by the person who directed it (the Change Management Policy has the same rule for changes). It gets the same review and testing as code written by hand, and the person who directed it carries the author's duties in this policy for that code.</w:t>
      </w:r>
    </w:p>
    <w:p>
      <w:pPr>
        <w:pStyle w:val="ListBullet"/>
      </w:pPr>
      <w:r>
        <w:t xml:space="preserve">No secret lives in code: keys, passwords, and tokens stay in approved secret storage, as the Access Control Policy and the Encryption Policy require. The repositories that hold code (Section 3.6) are scanned for secrets saved into them; the Encryption Policy requires this scan for keys, and this policy extends it to passwords and tokens (Section 3.4).</w:t>
      </w:r>
    </w:p>
    <w:p>
      <w:pPr>
        <w:pStyle w:val="ListBullet"/>
      </w:pPr>
      <w:r>
        <w:rPr/>
        <w:t>The choice of language and technology is itself a security decision: prefer platforms and languages that make the dangerous mistakes harder to write (memory-safe languages, which rule out a whole class of memory-handling bugs, for example), and turn on the safety options the language and build tooling offer. For anything that will face the internet, record the choice with the work.</w:t>
      </w:r>
    </w:p>
    <w:p>
      <w:pPr>
        <w:pStyle w:val="Heading2"/>
      </w:pPr>
      <w:r>
        <w:t xml:space="preserve">3.3 Components and Dependencies</w:t>
      </w:r>
    </w:p>
    <w:p>
      <w:pPr>
        <w:pStyle w:val="ListBullet"/>
      </w:pPr>
      <w:r>
        <w:t xml:space="preserve">Most modern software is assembled from third-party building blocks (</w:t>
      </w:r>
      <w:r>
        <w:rPr>
          <w:b/>
        </w:rPr>
        <w:t xml:space="preserve">components</w:t>
      </w:r>
      <w:r>
        <w:t xml:space="preserve">, also called dependencies, because the software depends on them): open-source libraries, frameworks, and packages. Each one brings its maker's bugs along, so components are chosen deliberately: actively maintained (recent releases and a responsive maintainer), pulled from the official package repository or the maker's own distribution point, and never copied from forums or mirror sites (unofficial copies of download sites). The package's exact name and publisher are checked, because a lookalike name on an official repository is still the wrong package.</w:t>
      </w:r>
    </w:p>
    <w:p>
      <w:pPr>
        <w:pStyle w:val="ListBullet"/>
      </w:pPr>
      <w:r>
        <w:t xml:space="preserve">A component's license terms are part of the choice: the organization uses a component only on terms it can meet, especially in software it distributes, and the component list records each component's license.</w:t>
      </w:r>
    </w:p>
    <w:p>
      <w:pPr>
        <w:pStyle w:val="ListBullet"/>
      </w:pPr>
      <w:r>
        <w:rPr/>
        <w:t>The organization keeps a list of the components used by each application (its infrastructure code included) and by each automation that handles Confidential information. That list is a software bill of materials, or SBOM: an ingredients list for software. Where the build system (the tooling that assembles code into the running software) can generate the list, the tooling generates it for everything it covers, and one list is kept per release, so the organization can tell which releases carried a vulnerable component. Where the build system cannot, the list is kept by hand and updated when components change. A per-release dependency lockfile kept in the repository satisfies the list for the components it covers.</w:t>
      </w:r>
    </w:p>
    <w:p>
      <w:pPr>
        <w:pStyle w:val="ListBullet"/>
      </w:pPr>
      <w:r>
        <w:t xml:space="preserve">Components are kept current: a component is updated when a vulnerability calls for it, and the component list is reviewed at least </w:t>
      </w:r>
      <w:r>
        <w:rPr>
          <w:highlight w:val="yellow"/>
        </w:rPr>
        <w:t xml:space="preserve">[annually]</w:t>
      </w:r>
      <w:r>
        <w:t xml:space="preserve"> to catch components that are outdated or no longer maintained. A vulnerability in a component is handled under the Vulnerability Management Policy on that policy's remediation timeframes, whether the fix is an update or a code change.</w:t>
      </w:r>
    </w:p>
    <w:p>
      <w:pPr>
        <w:pStyle w:val="ListBullet"/>
      </w:pPr>
      <w:r>
        <w:t xml:space="preserve">Contracts and laws can require providing the component list, so the organization treats it as shareable with customers, auditors, and regulators on request, under the Data Handling Policy's rules.</w:t>
      </w:r>
    </w:p>
    <w:p>
      <w:pPr>
        <w:pStyle w:val="Heading2"/>
      </w:pPr>
      <w:r>
        <w:t xml:space="preserve">3.4 Security Testing</w:t>
      </w:r>
    </w:p>
    <w:p>
      <w:pPr>
        <w:pStyle w:val="ListBullet"/>
      </w:pPr>
      <w:r>
        <w:t xml:space="preserve">The organization sets its application security baseline from the OWASP Application Security Verification Standard (ASVS), a published catalog of application security requirements offered at three levels of rigor. Every application the organization builds is subject to the baseline. </w:t>
      </w:r>
      <w:r>
        <w:rPr>
          <w:highlight w:val="yellow"/>
        </w:rPr>
        <w:t xml:space="preserve">[Level 1]</w:t>
      </w:r>
      <w:r>
        <w:t xml:space="preserve"> is the organization's starting bar. </w:t>
      </w:r>
      <w:r>
        <w:rPr>
          <w:highlight w:val="yellow"/>
        </w:rPr>
        <w:t xml:space="preserve">[Level 2]</w:t>
      </w:r>
      <w:r>
        <w:t xml:space="preserve"> applies to applications handling Confidential information under the Data Handling Policy. Section 3.1 selects from the chosen level at design time.</w:t>
      </w:r>
    </w:p>
    <w:p>
      <w:pPr>
        <w:pStyle w:val="ListBullet"/>
      </w:pPr>
      <w:r>
        <w:t xml:space="preserve">Where a pipeline exists, automated checks run on every change: dependency scanning (software composition analysis or SCA: checking each component against the public lists of known vulnerabilities), secret scanning (checking for keys and passwords left in code), and static analysis (SAST: tooling that reads code for known-dangerous patterns), with the tools the Information Security Lead designates for the organization's languages. Where no pipeline exists, security operations runs the same scans on a schedule, at least </w:t>
      </w:r>
      <w:r>
        <w:rPr>
          <w:highlight w:val="yellow"/>
        </w:rPr>
        <w:t xml:space="preserve">[monthly]</w:t>
      </w:r>
      <w:r>
        <w:t xml:space="preserve">. Internet-facing web applications also receive application-layer scanning (DAST: scans that test the running application itself) at least </w:t>
      </w:r>
      <w:r>
        <w:rPr>
          <w:highlight w:val="yellow"/>
        </w:rPr>
        <w:t xml:space="preserve">[quarterly]</w:t>
      </w:r>
      <w:r>
        <w:t xml:space="preserve">, as the Vulnerability Management Policy provides. When adopting these policies, keep the Vulnerability Management Policy's development bullet (that policy's Section 3.2) matched to the schedule values above.</w:t>
      </w:r>
    </w:p>
    <w:p>
      <w:pPr>
        <w:pStyle w:val="ListBullet"/>
      </w:pPr>
      <w:r>
        <w:t xml:space="preserve">A secret the scans find is treated as exposed, as the Encryption Policy treats a found key: it is reported at once (Section 7.0), rotated or revoked, and removed from the code. A hit that is not a real secret (a sample value, a test fixture, a scanner mistake) may instead be closed as a false positive with recorded evidence, as the Vulnerability Management Policy provides; when in doubt, treat it as real. Every other finding is looked at and then either fixed or accepted through the Vulnerability Management Policy's process.</w:t>
      </w:r>
    </w:p>
    <w:p>
      <w:pPr>
        <w:pStyle w:val="ListBullet"/>
      </w:pPr>
      <w:r>
        <w:t xml:space="preserve">Before an application first goes live, testing verifies the requirements selected at design (Section 3.1), and the automated checks pass. The full check of every applicable requirement at the chosen ASVS level is completed for a </w:t>
      </w:r>
      <w:r>
        <w:rPr>
          <w:highlight w:val="yellow"/>
        </w:rPr>
        <w:t xml:space="preserve">[Level 2]</w:t>
      </w:r>
      <w:r>
        <w:t xml:space="preserve"> application (keep this value matched to the baseline above) before first go-live, and for any other application within </w:t>
      </w:r>
      <w:r>
        <w:rPr>
          <w:highlight w:val="yellow"/>
        </w:rPr>
        <w:t xml:space="preserve">[12 months]</w:t>
      </w:r>
      <w:r>
        <w:t xml:space="preserve"> of it. Before a significant change (Section 3.1) to the application goes live, testing verifies the requirements the change touches, and the automated checks run as always.</w:t>
      </w:r>
    </w:p>
    <w:p>
      <w:pPr>
        <w:pStyle w:val="ListBullet"/>
      </w:pPr>
      <w:r>
        <w:t xml:space="preserve">The Vulnerability Management Policy separately requires an independent penetration test (a hands-on test where a person actively attempts to break in) of the systems in its test scope, at least </w:t>
      </w:r>
      <w:r>
        <w:rPr>
          <w:highlight w:val="yellow"/>
        </w:rPr>
        <w:t xml:space="preserve">[annually]</w:t>
      </w:r>
      <w:r>
        <w:t xml:space="preserve"> (keep this value matched to that policy). Keep internet-facing applications in that scope when adopting these policies; the Information Security Lead checks the scope against the organization's applications when each test is commissioned, and adds internal applications handling Confidential information where the risk warrants it. One engagement satisfies both policies; this policy adds no second penetration test.</w:t>
      </w:r>
    </w:p>
    <w:p>
      <w:pPr>
        <w:pStyle w:val="ListBullet"/>
      </w:pPr>
      <w:r>
        <w:t xml:space="preserve">Test results are recorded with the work, in the same place as Section 3.1's records. Based on what is known at release time, a release does not go live with an unresolved finding at or above </w:t>
      </w:r>
      <w:r>
        <w:rPr>
          <w:highlight w:val="yellow"/>
        </w:rPr>
        <w:t xml:space="preserve">[High]</w:t>
      </w:r>
      <w:r>
        <w:t xml:space="preserve"> severity on the Vulnerability Management Policy's severity scale, or with one known to be actively exploited, that the release itself introduces or that its pre-release testing newly finds. A documented exception or accepted risk under that policy lifts the block; a compensating measure alone does not. A finding from manual testing, with no tool score, is given a severity on that scale by whoever leads development. A finding discovered after release is handled under Section 3.8.</w:t>
      </w:r>
    </w:p>
    <w:p>
      <w:pPr>
        <w:pStyle w:val="ListBullet"/>
      </w:pPr>
      <w:r>
        <w:rPr/>
        <w:t xml:space="preserve">A release is never blocked by a finding already live in production that it fixes, or that it reduces below the bar above. Reducing a finding does not clear it, and the finding stays open on the Vulnerability Management Policy's clock at its reassessed severity.</w:t>
      </w:r>
    </w:p>
    <w:p>
      <w:pPr>
        <w:pStyle w:val="ListBullet"/>
      </w:pPr>
      <w:r>
        <w:rPr/>
        <w:t xml:space="preserve">An open finding that predates the release does not block an unrelated release while it is inside that policy's remediation timeframes or covered by a compensating measure, exception, or accepted risk under that policy.</w:t>
      </w:r>
    </w:p>
    <w:p>
      <w:pPr>
        <w:pStyle w:val="ListBullet"/>
      </w:pPr>
      <w:r>
        <w:t xml:space="preserve">Once a finding at or above </w:t>
      </w:r>
      <w:r>
        <w:rPr>
          <w:highlight w:val="yellow"/>
        </w:rPr>
        <w:t xml:space="preserve">[High]</w:t>
      </w:r>
      <w:r>
        <w:t xml:space="preserve"> severity, or one known to be actively exploited, is overdue with no compensating measure, exception, or accepted risk in place, the application's releases wait until the finding is fixed or covered. A fix for that finding, or for another security finding, may still ship.</w:t>
      </w:r>
    </w:p>
    <w:p>
      <w:pPr>
        <w:pStyle w:val="Heading2"/>
      </w:pPr>
      <w:r>
        <w:t xml:space="preserve">3.5 Environments and Test Data</w:t>
      </w:r>
    </w:p>
    <w:p>
      <w:pPr>
        <w:pStyle w:val="ListBullet"/>
      </w:pPr>
      <w:r>
        <w:rPr/>
        <w:t>Development and testing happen apart from production, in their own environments (separate copies of the systems, with their own accounts and data). On platforms the organization controls (its own servers, cloud accounts, and hosting), the organization creates those environments. The environment is sized to the work: an application gets a separate copy of the system. For a script or a small automation, a developer machine or a scratch area with test data is enough, as long as that machine or scratch area stays apart from the production system and its credentials. What is built reaches production only through the Change Management Policy's process.</w:t>
      </w:r>
    </w:p>
    <w:p>
      <w:pPr>
        <w:pStyle w:val="ListBullet"/>
      </w:pPr>
      <w:r>
        <w:rPr/>
        <w:t xml:space="preserve">Some low-code tools and some SaaS tools cannot host a separate copy (SaaS means software a provider runs and users reach over the internet). Only where the platform itself cannot host one are changes tested as the Change Management Policy provides, and the change record names the platform and says no test environment exists.</w:t>
      </w:r>
    </w:p>
    <w:p>
      <w:pPr>
        <w:pStyle w:val="ListBullet"/>
      </w:pPr>
      <w:r>
        <w:t xml:space="preserve">The separation is secured: development and test environments get real access controls, and the keys, tokens, and service credentials (the sign-ins software itself uses) of one environment do not work in another. The organization's central identity provider (IdP: the one sign-in system the organization's other systems trust) may span environments; production access is requested and approved on its own under the Access Control Policy, never bundled with development access.</w:t>
      </w:r>
    </w:p>
    <w:p>
      <w:pPr>
        <w:pStyle w:val="ListBullet"/>
      </w:pPr>
      <w:r>
        <w:rPr/>
        <w:t>Test data is made up or generated. Real data enters a development or test environment only when the work genuinely requires it, and the data owner approves the copy first. The Data Handling Policy requires this approval for bulk extracts of Confidential information; this policy requires it for every copy of real data. Whenever real data is used, Confidential information is masked or anonymized first (real values replaced with made-up ones). Where even that is impossible, the environment holding the data is protected like production, and the data is removed when the work is done. The Data Handling Policy governs the data throughout.</w:t>
      </w:r>
    </w:p>
    <w:p>
      <w:pPr>
        <w:pStyle w:val="ListBullet"/>
      </w:pPr>
      <w:r>
        <w:t xml:space="preserve">Accounts, keys, and sample records created for testing do not reach production: they are removed from the release before it goes live. Default accounts and default passwords a platform ships with are removed, disabled, or changed before release; where the platform will not allow it, their access is reduced to the minimum the platform allows and the gap is handled through the exception process (Section 6.0). A test account or default credential found in production is reported under Section 7.0.</w:t>
      </w:r>
    </w:p>
    <w:p>
      <w:pPr>
        <w:pStyle w:val="Heading2"/>
      </w:pPr>
      <w:r>
        <w:t xml:space="preserve">3.6 Source Code and Build</w:t>
      </w:r>
    </w:p>
    <w:p>
      <w:pPr>
        <w:pStyle w:val="ListBullet"/>
      </w:pPr>
      <w:r>
        <w:rPr/>
        <w:t>All code the organization writes or maintains, including code delivered under Section 3.7, lives in version control (a system that records every change to code, who made it, and when), not in personal folders or shared drives. Some platforms hold what was built, cannot export it, and keep their own change history; some low-code and no-code tools work this way. On such a platform, that history and the change record stand in for version control, and the change record says so.</w:t>
      </w:r>
    </w:p>
    <w:p>
      <w:pPr>
        <w:pStyle w:val="ListBullet"/>
      </w:pPr>
      <w:r>
        <w:rPr/>
        <w:t>Read and write access to source code, development tools, software libraries, and the pipeline is granted on business need under the Access Control Policy. Under that policy, write access to the code that ships (the code that goes to production) is granted to named individuals, protected by multi-factor authentication (MFA: a second sign-in step, such as an app prompt or a code), reviewed at least quarterly like privileged access (administrator-level access), and removed when the role ends. Access to change the pipeline is protected the same way, because a change to the pipeline changes what ships.</w:t>
      </w:r>
    </w:p>
    <w:p>
      <w:pPr>
        <w:pStyle w:val="ListBullet"/>
      </w:pPr>
      <w:r>
        <w:t xml:space="preserve">Releases the organization supplies to others are signed or checksummed where the distribution channel supports it, so a recipient can tell the genuine release from a tampered one. They ship with secure default settings, so the recipient is protected before any configuration.</w:t>
      </w:r>
    </w:p>
    <w:p>
      <w:pPr>
        <w:pStyle w:val="ListBullet"/>
      </w:pPr>
      <w:r>
        <w:rPr/>
        <w:t>The organization's own code is an information asset: its classification follows the Data Handling Policy, and it is backed up under the Business Continuity &amp; Disaster Recovery Plan's rules. A hosted version control service is a cloud service under that plan: the organization verifies that the provider's backup and restore meet the organization's needs, or backs the repositories up itself.</w:t>
      </w:r>
    </w:p>
    <w:p>
      <w:pPr>
        <w:pStyle w:val="Heading2"/>
      </w:pPr>
      <w:r>
        <w:t xml:space="preserve">3.7 Development by Others</w:t>
      </w:r>
    </w:p>
    <w:p>
      <w:pPr>
        <w:pStyle w:val="ListBullet"/>
      </w:pPr>
      <w:r>
        <w:t xml:space="preserve">Development done for the organization by a vendor or contractor follows this policy through the contract: the engagement is assessed under the Vendor Risk Management Policy, and the contract requires secure development practices, security testing before delivery, and the component list for what is delivered. The contract also requires the vendor to fix vulnerabilities found after delivery, on the terms and for the period the contract sets.</w:t>
      </w:r>
    </w:p>
    <w:p>
      <w:pPr>
        <w:pStyle w:val="ListBullet"/>
      </w:pPr>
      <w:r>
        <w:t xml:space="preserve">The organization reviews what is delivered before relying on it: the security requirements from Section 3.1 are checked, and delivered code and components enter the organization's own version control, scanning, and vulnerability handling like code written in-house. The review's outcome is recorded in the vendor record the Vendor Risk Management Policy keeps.</w:t>
      </w:r>
    </w:p>
    <w:p>
      <w:pPr>
        <w:pStyle w:val="Heading2"/>
      </w:pPr>
      <w:r>
        <w:t xml:space="preserve">3.8 Vulnerabilities in What the Organization Builds</w:t>
      </w:r>
    </w:p>
    <w:p>
      <w:pPr>
        <w:pStyle w:val="ListBullet"/>
      </w:pPr>
      <w:r>
        <w:t xml:space="preserve">A vulnerability found in software the organization built, whoever finds it, is handled under the Vulnerability Management Policy on that policy's remediation timeframes; the fix is developed under this policy and released under the Change Management Policy. Where the organization supplied the affected software to others, the response covers them too: the fix is delivered to recipients, and affected customers are notified, on the same timeframes or the contract's terms. After the fix, a short review asks what would have caught it earlier. The answer is written down with the vulnerability record, and it updates the baseline, the tests, or the training.</w:t>
      </w:r>
    </w:p>
    <w:p>
      <w:pPr>
        <w:pStyle w:val="ListBullet"/>
      </w:pPr>
      <w:r>
        <w:t xml:space="preserve">The Vulnerability Management Policy requires the organization to publish a way to reach it for security reports; reports from outside (a customer, a researcher) come in through that channel. They are acknowledged and handled under that policy, which protects good-faith reporters.</w:t>
      </w:r>
    </w:p>
    <w:p>
      <w:pPr>
        <w:pStyle w:val="ListBullet"/>
      </w:pPr>
      <w:r>
        <w:t xml:space="preserve">Where the organization sells or supplies software, some laws set duties for product security and vulnerability reporting (in the European Union, the Cyber Resilience Act phases in such duties for products with digital elements). The organization records the product security requirements that apply to it in the record of legal, regulatory, and contractual requirements the Information Security Policy keeps, and follows them.</w:t>
      </w:r>
    </w:p>
    <w:p>
      <w:pPr>
        <w:pStyle w:val="Heading1"/>
      </w:pPr>
      <w:r>
        <w:t xml:space="preserve">4.0 Roles and Responsibilities</w:t>
      </w:r>
    </w:p>
    <w:p>
      <w:pPr>
        <w:pStyle w:val="ListBullet"/>
      </w:pPr>
      <w:r>
        <w:rPr>
          <w:b/>
        </w:rPr>
        <w:t>The Information Security Lead</w:t>
      </w:r>
      <w:r>
        <w:rPr/>
        <w:t xml:space="preserve"> owns this policy, sets the ASVS levels and the severity threshold for release (Section 3.4), and designates the design principles, the secure coding guidance, and the scanning tools (Sections 3.1, 3.2, and 3.4). Where development is already under way at adoption, the designations are in place within </w:t>
      </w:r>
      <w:r>
        <w:rPr>
          <w:highlight w:val="yellow"/>
        </w:rPr>
        <w:t>[90 days]</w:t>
      </w:r>
      <w:r>
        <w:rPr/>
        <w:t xml:space="preserve"> of the effective date; otherwise they are in place before the first development work after adoption goes live. The Lead keeps those designations current, and answers questions about what this policy requires.</w:t>
      </w:r>
    </w:p>
    <w:p>
      <w:pPr>
        <w:pStyle w:val="ListBullet"/>
      </w:pPr>
      <w:r>
        <w:rPr>
          <w:b/>
        </w:rPr>
        <w:t>Whoever leads development</w:t>
      </w:r>
      <w:r>
        <w:rPr/>
        <w:t xml:space="preserve"> (a development lead, or the senior developer; in the smallest organization the person doing the work) plans security requirements and threat modeling into the work (Section 3.1), decides what is significant, makes sure reviews and tests happen before release, keeps the component lists current (Section 3.3), and keeps the records this policy requires where the work is tracked. The records are retained under the Data Handling Policy's retention schedule.</w:t>
      </w:r>
    </w:p>
    <w:p>
      <w:pPr>
        <w:pStyle w:val="ListBullet"/>
      </w:pPr>
      <w:r>
        <w:rPr>
          <w:b/>
        </w:rPr>
        <w:t>Developers</w:t>
      </w:r>
      <w:r>
        <w:rPr/>
        <w:t>, including contractors, follow the secure coding guidance, complete the training the Information Security Policy requires for their roles, review changes they did not write (Section 3.2), write down the security decisions they make, and never bypass the pipeline, the tests, or the review. In an emergency, the Change Management Policy's emergency change is the one path, and the review follows as Section 3.2 provides.</w:t>
      </w:r>
    </w:p>
    <w:p>
      <w:pPr>
        <w:pStyle w:val="ListBullet"/>
      </w:pPr>
      <w:r>
        <w:t xml:space="preserve">Security operations, with IT (an internal team or a qualified service provider; in a small organization the Information Security Lead performs both), runs the scanning tools, watches the open findings, and keeps the development and test environments in line with Section 3.5.</w:t>
      </w:r>
    </w:p>
    <w:p>
      <w:pPr>
        <w:pStyle w:val="ListBullet"/>
      </w:pPr>
      <w:r>
        <w:rPr>
          <w:b/>
        </w:rPr>
        <w:t xml:space="preserve">Everyone</w:t>
      </w:r>
      <w:r>
        <w:t xml:space="preserve"> reports suspected vulnerabilities and insecure practices promptly (Section 7.0).</w:t>
      </w:r>
    </w:p>
    <w:p>
      <w:pPr>
        <w:pStyle w:val="Heading1"/>
      </w:pPr>
      <w:r>
        <w:t xml:space="preserve">5.0 Policy Review and Updates</w:t>
      </w:r>
    </w:p>
    <w:p>
      <w:r>
        <w:t xml:space="preserve">This policy shall be reviewed at least annually, and sooner when the business, technology, regulations, or the threat environment change significantly. The Information Security Lead starts the review, and Executive Management approves changes before they take effect, following the review process in the Information Security Policy.</w:t>
      </w:r>
    </w:p>
    <w:p>
      <w:pPr>
        <w:pStyle w:val="Heading1"/>
      </w:pPr>
      <w:r>
        <w:t xml:space="preserve">6.0 Exceptions</w:t>
      </w:r>
    </w:p>
    <w:p>
      <w:r>
        <w:t xml:space="preserve">Any planned deviation from this policy requires a documented exception, requested and approved through the exception process in the Information Security Policy. Submit the request in writing to the Information Security Lead. Describe the business reason, what the exception covers, how long it is needed, and any temporary safeguards that reduce the risk. Exceptions expire and are reviewed under that process.</w:t>
      </w:r>
    </w:p>
    <w:p>
      <w:r>
        <w:t xml:space="preserve">An exception documents a temporary gap that stays subject to expiry and review. A gap that is discovered rather than planned is reported and handled first (see Section 7.0); if it must stay open afterward, an exception is requested promptly. A deviation someone chose to make without approval, or a discovered gap kept outside this process, is a violation (see Section 8.0).</w:t>
      </w:r>
    </w:p>
    <w:p>
      <w:pPr>
        <w:pStyle w:val="Heading1"/>
      </w:pPr>
      <w:r>
        <w:t xml:space="preserve">7.0 Reporting Security Incidents and Concerns</w:t>
      </w:r>
    </w:p>
    <w:p>
      <w:r>
        <w:t xml:space="preserve">Promptly report a suspected vulnerability in software the organization built, a secret found in code, development work bypassing review or testing, and other security concerns. Use the incident reporting contacts kept in the Information Security Policy (its Appendix 1). A report to any manager counts; the manager passes it to those contacts. Failing to report a security incident you know about or reasonably suspect is itself a policy violation (see Section 8.0).</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pPr>
        <w:pStyle w:val="Heading1"/>
      </w:pPr>
      <w:r>
        <w:t xml:space="preserve">8.0 Violations and Disciplinary Action</w:t>
      </w:r>
    </w:p>
    <w:p>
      <w:r>
        <w:t xml:space="preserve">Anyone who violates this policy can face disciplinary action, up to and including termination of employment or contract, and legal action where applicable. The response to a violation will depend on its severity, its impact on the organization's security, and any legal or regulatory requirements.</w:t>
      </w:r>
    </w:p>
    <w:p>
      <w:pPr>
        <w:pStyle w:val="Heading1"/>
      </w:pPr>
      <w:r>
        <w:t xml:space="preserve">9.0 Related Policies and Standards</w:t>
      </w:r>
    </w:p>
    <w:p>
      <w:r>
        <w:t xml:space="preserve">This policy is a supporting policy of the Information Security Policy, the top-level document of the organization's information security policy set. This policy may set stricter rules; a stricter rule is not a conflict. If this policy contradicts the Information Security Policy, the Information Security Policy prevails.</w:t>
      </w:r>
    </w:p>
    <w:p>
      <w:r>
        <w:t xml:space="preserve">It works alongside these policies:</w:t>
      </w:r>
    </w:p>
    <w:p>
      <w:pPr>
        <w:pStyle w:val="ListBullet"/>
      </w:pPr>
      <w:r>
        <w:t xml:space="preserve">The Change Management Policy: it approves and releases what is developed, and owns the pipeline and approval rules; this policy sets what the code review covers.</w:t>
      </w:r>
    </w:p>
    <w:p>
      <w:pPr>
        <w:pStyle w:val="ListBullet"/>
      </w:pPr>
      <w:r>
        <w:t xml:space="preserve">The AI Acceptable Use Policy: the rules for using AI tools, including coding assistants; this policy sets the review standard their output must pass.</w:t>
      </w:r>
    </w:p>
    <w:p>
      <w:pPr>
        <w:pStyle w:val="ListBullet"/>
      </w:pPr>
      <w:r>
        <w:t xml:space="preserve">The Vulnerability Management Policy: it handles vulnerabilities in what the organization builds and runs, on that policy's timeframes.</w:t>
      </w:r>
    </w:p>
    <w:p>
      <w:pPr>
        <w:pStyle w:val="ListBullet"/>
      </w:pPr>
      <w:r>
        <w:t xml:space="preserve">The Access Control Policy: it governs access to code, tools, and environments.</w:t>
      </w:r>
    </w:p>
    <w:p>
      <w:pPr>
        <w:pStyle w:val="ListBullet"/>
      </w:pPr>
      <w:r>
        <w:t xml:space="preserve">The Encryption Policy: it sets the cryptography the software uses and bans keys in code.</w:t>
      </w:r>
    </w:p>
    <w:p>
      <w:pPr>
        <w:pStyle w:val="ListBullet"/>
      </w:pPr>
      <w:r>
        <w:t xml:space="preserve">The Data Handling Policy: it classifies the information the software and its test data hold.</w:t>
      </w:r>
    </w:p>
    <w:p>
      <w:pPr>
        <w:pStyle w:val="ListBullet"/>
      </w:pPr>
      <w:r>
        <w:t xml:space="preserve">The Vendor Risk Management Policy: it contracts and assesses development done by others.</w:t>
      </w:r>
    </w:p>
    <w:p>
      <w:pPr>
        <w:pStyle w:val="ListBullet"/>
      </w:pPr>
      <w:r>
        <w:t xml:space="preserve">The Business Continuity &amp; Disaster Recovery Plan: under its rules the organization's code, hosted version control included, is backed up.</w:t>
      </w:r>
    </w:p>
    <w:p>
      <w:r>
        <w:t xml:space="preserve">Where any of these does not exist yet, treat it as a roadmap item; the rules in this policy apply on their own regardless.</w:t>
      </w:r>
    </w:p>
    <w:p>
      <w:r>
        <w:t xml:space="preserve">At a policy level, these rules put into practice the secure development controls of ISO/IEC 27001:2022 Annex A: control 8.25 (secure development life cycle), and with it controls 8.26 to 8.29 (application security requirements; secure system architecture and engineering principles; secure coding; security testing in development and acceptance). They also carry controls 8.30 (outsourced development), 8.33 (test information), and 8.4 (access to source code). The environment rules in Section 3.5, with the Change Management Policy's separation rule, also support control 8.31 (separation of development, test and production environments).</w:t>
      </w:r>
    </w:p>
    <w:p>
      <w:r>
        <w:t xml:space="preserve">They support the Protect function of the NIST Cybersecurity Framework 2.0, in particular its Platform Security (PR.PS) category, whose secure development outcome this policy carries. They follow NIST's secure development guidance, Special Publication 800-218, the Secure Software Development Framework (SSDF) Version 1.1, whose four practice groups (Prepare the Organization, Protect the Software, Produce Well-Secured Software, Respond to Vulnerabilities) shape Sections 3.1 to 3.8.</w:t>
      </w:r>
    </w:p>
    <w:p>
      <w:r>
        <w:t xml:space="preserve">For application-level security requirements and testing, the organization uses the OWASP Application Security Verification Standard (ASVS) 5.0 at the levels Section 3.4 sets.</w:t>
      </w:r>
    </w:p>
    <w:p>
      <w:pPr>
        <w:pStyle w:val="Heading1"/>
      </w:pPr>
      <w:r>
        <w:t xml:space="preserve">Appendix 1: Security Gates by Stage</w:t>
      </w:r>
    </w:p>
    <w:p>
      <w:r>
        <w:t xml:space="preserve">This table is the quick reference for what happens when; the rules in Sections 3.1 to 3.8 govern. Set the bracketed values when adopting this policy.</w:t>
      </w:r>
    </w:p>
    <w:tbl>
      <w:tblPr>
        <w:tblStyle w:val="TableGrid"/>
        <w:tblW w:type="auto" w:w="0"/>
        <w:tblLook w:firstColumn="1" w:firstRow="1" w:lastColumn="0" w:lastRow="0" w:noHBand="0" w:noVBand="1" w:val="04A0"/>
      </w:tblPr>
      <w:tblGrid>
        <w:gridCol w:w="2200"/>
        <w:gridCol w:w="4600"/>
        <w:gridCol w:w="4000"/>
      </w:tblGrid>
      <w:tr>
        <w:trPr>
          <w:cantSplit/>
          <w:tblHeader/>
        </w:trPr>
        <w:tc>
          <w:tcPr>
            <w:tcW w:type="dxa" w:w="2200"/>
          </w:tcPr>
          <w:p>
            <w:r>
              <w:rPr>
                <w:b/>
              </w:rPr>
              <w:t xml:space="preserve">Stage</w:t>
            </w:r>
          </w:p>
        </w:tc>
        <w:tc>
          <w:tcPr>
            <w:tcW w:type="dxa" w:w="4600"/>
          </w:tcPr>
          <w:p>
            <w:r>
              <w:rPr>
                <w:b/>
              </w:rPr>
              <w:t xml:space="preserve">What this policy requires</w:t>
            </w:r>
          </w:p>
        </w:tc>
        <w:tc>
          <w:tcPr>
            <w:tcW w:type="dxa" w:w="4000"/>
          </w:tcPr>
          <w:p>
            <w:r>
              <w:rPr>
                <w:b/>
              </w:rPr>
              <w:t xml:space="preserve">Where it is written down</w:t>
            </w:r>
          </w:p>
        </w:tc>
      </w:tr>
      <w:tr>
        <w:trPr>
          <w:cantSplit/>
        </w:trPr>
        <w:tc>
          <w:tcPr>
            <w:tcW w:type="dxa" w:w="2200"/>
          </w:tcPr>
          <w:p>
            <w:r>
              <w:t xml:space="preserve">Design</w:t>
            </w:r>
          </w:p>
        </w:tc>
        <w:tc>
          <w:tcPr>
            <w:tcW w:type="dxa" w:w="4600"/>
          </w:tcPr>
          <w:p>
            <w:r>
              <w:rPr/>
              <w:t>Security requirements chosen from the application security baseline, or the three questions for any other work; threat modeling for new systems, significant changes, and changes that rework sign-in, access, or the handling of Confidential information (Section 3.1)</w:t>
            </w:r>
          </w:p>
        </w:tc>
        <w:tc>
          <w:tcPr>
            <w:tcW w:type="dxa" w:w="4000"/>
          </w:tcPr>
          <w:p>
            <w:r>
              <w:t xml:space="preserve">With the work (the ticket, project page, or repository): the requirements and the threat model record</w:t>
            </w:r>
          </w:p>
        </w:tc>
      </w:tr>
      <w:tr>
        <w:trPr>
          <w:cantSplit/>
        </w:trPr>
        <w:tc>
          <w:tcPr>
            <w:tcW w:type="dxa" w:w="2200"/>
          </w:tcPr>
          <w:p>
            <w:r>
              <w:t xml:space="preserve">Coding</w:t>
            </w:r>
          </w:p>
        </w:tc>
        <w:tc>
          <w:tcPr>
            <w:tcW w:type="dxa" w:w="4600"/>
          </w:tcPr>
          <w:p>
            <w:r>
              <w:t xml:space="preserve">Secure coding guidance followed; no secrets in code; AI-written code reviewed like any other (Section 3.2)</w:t>
            </w:r>
          </w:p>
        </w:tc>
        <w:tc>
          <w:tcPr>
            <w:tcW w:type="dxa" w:w="4000"/>
          </w:tcPr>
          <w:p>
            <w:r>
              <w:t xml:space="preserve">The recorded code review: the merge request, or the change record where no pipeline exists (Change Management Policy)</w:t>
            </w:r>
          </w:p>
        </w:tc>
      </w:tr>
      <w:tr>
        <w:trPr>
          <w:cantSplit/>
        </w:trPr>
        <w:tc>
          <w:tcPr>
            <w:tcW w:type="dxa" w:w="2200"/>
          </w:tcPr>
          <w:p>
            <w:r>
              <w:t xml:space="preserve">Components</w:t>
            </w:r>
          </w:p>
        </w:tc>
        <w:tc>
          <w:tcPr>
            <w:tcW w:type="dxa" w:w="4600"/>
          </w:tcPr>
          <w:p>
            <w:r>
              <w:t xml:space="preserve">Components and their licenses chosen deliberately and kept current; the component list maintained (Section 3.3)</w:t>
            </w:r>
          </w:p>
        </w:tc>
        <w:tc>
          <w:tcPr>
            <w:tcW w:type="dxa" w:w="4000"/>
          </w:tcPr>
          <w:p>
            <w:r>
              <w:t xml:space="preserve">The component list (SBOM)</w:t>
            </w:r>
          </w:p>
        </w:tc>
      </w:tr>
      <w:tr>
        <w:trPr>
          <w:cantSplit/>
        </w:trPr>
        <w:tc>
          <w:tcPr>
            <w:tcW w:type="dxa" w:w="2200"/>
          </w:tcPr>
          <w:p>
            <w:r>
              <w:t xml:space="preserve">Before release</w:t>
            </w:r>
          </w:p>
        </w:tc>
        <w:tc>
          <w:tcPr>
            <w:tcW w:type="dxa" w:w="4600"/>
          </w:tcPr>
          <w:p>
            <w:r>
              <w:rPr/>
              <w:t xml:space="preserve">For an application, tests pass at the application's chosen ASVS level (per the Section 3.4 gate; a significant change verifies what it touches); scan findings reviewed</w:t>
            </w:r>
          </w:p>
          <w:p>
            <w:r>
              <w:rPr/>
              <w:t xml:space="preserve">A finding at or above </w:t>
            </w:r>
            <w:r>
              <w:rPr>
                <w:highlight w:val="yellow"/>
              </w:rPr>
              <w:t>[High]</w:t>
            </w:r>
            <w:r>
              <w:rPr/>
              <w:t xml:space="preserve"> severity, or actively exploited, that the release introduces or its testing newly finds is resolved or covered by an exception or accepted risk, and an overdue finding can freeze the application's other releases (Section 3.4 has the full gate)</w:t>
            </w:r>
          </w:p>
          <w:p>
            <w:r>
              <w:rPr/>
              <w:t xml:space="preserve">Test accounts and default credentials removed or handled (Section 3.5)</w:t>
            </w:r>
          </w:p>
        </w:tc>
        <w:tc>
          <w:tcPr>
            <w:tcW w:type="dxa" w:w="4000"/>
          </w:tcPr>
          <w:p>
            <w:r>
              <w:t xml:space="preserve">Test results with the work; exceptions or accepted risks under the Vulnerability Management Policy</w:t>
            </w:r>
          </w:p>
        </w:tc>
      </w:tr>
      <w:tr>
        <w:trPr>
          <w:cantSplit/>
        </w:trPr>
        <w:tc>
          <w:tcPr>
            <w:tcW w:type="dxa" w:w="2200"/>
          </w:tcPr>
          <w:p>
            <w:r>
              <w:t xml:space="preserve">Release</w:t>
            </w:r>
          </w:p>
        </w:tc>
        <w:tc>
          <w:tcPr>
            <w:tcW w:type="dxa" w:w="4600"/>
          </w:tcPr>
          <w:p>
            <w:r>
              <w:t xml:space="preserve">Through the Change Management Policy's process only (Section 3.5)</w:t>
            </w:r>
          </w:p>
        </w:tc>
        <w:tc>
          <w:tcPr>
            <w:tcW w:type="dxa" w:w="4000"/>
          </w:tcPr>
          <w:p>
            <w:r>
              <w:t xml:space="preserve">The change record</w:t>
            </w:r>
          </w:p>
        </w:tc>
      </w:tr>
      <w:tr>
        <w:trPr>
          <w:cantSplit/>
        </w:trPr>
        <w:tc>
          <w:tcPr>
            <w:tcW w:type="dxa" w:w="2200"/>
          </w:tcPr>
          <w:p>
            <w:r>
              <w:t xml:space="preserve">Delivered by others</w:t>
            </w:r>
          </w:p>
        </w:tc>
        <w:tc>
          <w:tcPr>
            <w:tcW w:type="dxa" w:w="4600"/>
          </w:tcPr>
          <w:p>
            <w:r>
              <w:t xml:space="preserve">Requirements checked; code and components brought into version control and scanning (Section 3.7)</w:t>
            </w:r>
          </w:p>
        </w:tc>
        <w:tc>
          <w:tcPr>
            <w:tcW w:type="dxa" w:w="4000"/>
          </w:tcPr>
          <w:p>
            <w:r>
              <w:t xml:space="preserve">The vendor record</w:t>
            </w:r>
          </w:p>
        </w:tc>
      </w:tr>
      <w:tr>
        <w:trPr>
          <w:cantSplit/>
        </w:trPr>
        <w:tc>
          <w:tcPr>
            <w:tcW w:type="dxa" w:w="2200"/>
          </w:tcPr>
          <w:p>
            <w:r>
              <w:t xml:space="preserve">After release</w:t>
            </w:r>
          </w:p>
        </w:tc>
        <w:tc>
          <w:tcPr>
            <w:tcW w:type="dxa" w:w="4600"/>
          </w:tcPr>
          <w:p>
            <w:r>
              <w:t xml:space="preserve">Vulnerabilities handled under the Vulnerability Management Policy; the lesson written down (Section 3.8)</w:t>
            </w:r>
          </w:p>
        </w:tc>
        <w:tc>
          <w:tcPr>
            <w:tcW w:type="dxa" w:w="4000"/>
          </w:tcPr>
          <w:p>
            <w:r>
              <w:t xml:space="preserve">The vulnerability record, with the lesson</w:t>
            </w:r>
          </w:p>
        </w:tc>
      </w:tr>
    </w:tbl>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Secure Development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4659</Words>
  <Characters>25747</Characters>
  <DocSecurity>0</DocSecurity>
  <Lines>172</Lines>
  <Paragraphs>145</Paragraphs>
  <ScaleCrop>false</ScaleCrop>
  <HeadingPairs>
    <vt:vector size="2" baseType="variant">
      <vt:variant>
        <vt:lpstr>Title</vt:lpstr>
      </vt:variant>
      <vt:variant>
        <vt:i4>1</vt:i4>
      </vt:variant>
    </vt:vector>
  </HeadingPairs>
  <TitlesOfParts>
    <vt:vector size="1" baseType="lpstr">
      <vt:lpstr>Secure Development Policy</vt:lpstr>
    </vt:vector>
  </TitlesOfParts>
  <Manager/>
  <Company>anoBytes Technology Solutions LLC</Company>
  <LinksUpToDate>false</LinksUpToDate>
  <CharactersWithSpaces>30403</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Secure Development Policy</dc:title>
  <dc:subject>Secure development policy template</dc:subject>
  <dc:creator>Nelson Pereira, anoBytes Technology Solutions LLC</dc:creator>
  <cp:keywords>ssdf, sast, dast, sca, application security, code review, source code, version control, pipeline, component list, security verification standard, asvs level, test data, test environments, penetration test, remediation timeframes, security baseline, vulnerability record, automated checks, 800-218, sdlc, secure development life cycle</cp:keywords>
  <dc:description>The secure development companion to our security policy set: security requirements and threat modeling at design, secure coding and review, components and SBOMs, security testing, and handling vulnerabilities in what you build, following NIST's Secure Software Development Framework and OWASP ASVS 5.0. Free to adapt for your organization.</dc:description>
  <cp:lastModifiedBy/>
  <cp:revision>1</cp:revision>
  <dcterms:created xsi:type="dcterms:W3CDTF">2026-07-18T00:00:00Z</dcterms:created>
  <dcterms:modified xsi:type="dcterms:W3CDTF">2026-08-06T00:00:00Z</dcterms:modified>
  <cp:category>Template</cp:category>
</cp:coreProperties>
</file>