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Vendor Risk Management Policy</w:t>
      </w:r>
    </w:p>
    <w:p>
      <w:r>
        <w:rPr>
          <w:b/>
        </w:rPr>
        <w:t>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Vendor Risk Management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defines how </w:t>
      </w:r>
      <w:r>
        <w:rPr>
          <w:highlight w:val="yellow"/>
        </w:rPr>
        <w:t xml:space="preserve">[Company Name]</w:t>
      </w:r>
      <w:r>
        <w:t xml:space="preserve"> ("the organization") selects, contracts with, monitors, and offboards the vendors and service providers its business depends on.</w:t>
      </w:r>
    </w:p>
    <w:p>
      <w:r>
        <w:t xml:space="preserve">This policy is a supporting policy of the organization's Information Security Policy, and it turns that policy's vendor rules into a working process. It gives effect to the supplier relationship requirements of ISO/IEC 27001:2022 Annex A and the corresponding outcomes of the NIST Cybersecurity Framework (CSF) 2.0 (see Section 9.0).</w:t>
      </w:r>
    </w:p>
    <w:p>
      <w:pPr>
        <w:pStyle w:val="Heading1"/>
      </w:pPr>
      <w:r>
        <w:t xml:space="preserve">2.0 Scope</w:t>
      </w:r>
    </w:p>
    <w:p>
      <w:r>
        <w:t>This policy applies to every third party that stores or processes the organization's information, connects to its systems, or provides a service its operations depend on, or supplies software the organization runs, including software that updates itself: vendors, service providers, cloud and SaaS services (software used over the internet), software suppliers, managed providers, and the firms that supply contractors. It governs everyone who selects, engages, or manages such a third party. The Access Control Policy governs the accounts and access of third-party personnel, and its third-party integration rules govern connected apps and integrations. This policy governs the organization-to-vendor relationship itself, from first assessment to exit.</w:t>
      </w:r>
    </w:p>
    <w:p>
      <w:pPr>
        <w:pStyle w:val="Heading1"/>
      </w:pPr>
      <w:r>
        <w:t xml:space="preserve">3.0 Policy Statements</w:t>
      </w:r>
    </w:p>
    <w:p>
      <w:r>
        <w:t>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Vendor Inventory and Tiering</w:t>
      </w:r>
    </w:p>
    <w:p>
      <w:pPr>
        <w:pStyle w:val="ListBullet"/>
      </w:pPr>
      <w:r>
        <w:t>The organization maintains a vendor inventory: every third party in scope, the service it provides, the internal sponsor who manages the relationship, what information and access the vendor has, its risk tier, and its assessment and renewal dates. Security operations and the Information Security Lead together keep the inventory current.</w:t>
      </w:r>
    </w:p>
    <w:p>
      <w:pPr>
        <w:pStyle w:val="ListBullet"/>
      </w:pPr>
      <w:r>
        <w:t xml:space="preserve">Every vendor is assigned a risk tier when it is first assessed, and the tier is revisited whenever the vendor's data, access, or role changes. The Information Security Lead assigns and records the tier; Appendix 1 defines the tiers.</w:t>
      </w:r>
    </w:p>
    <w:p>
      <w:pPr>
        <w:pStyle w:val="ListBullet"/>
      </w:pPr>
      <w:r>
        <w:t>High tier: the vendor stores or processes Confidential information (a Data Handling Policy classification that includes personal information; under that policy, incidental business contact details do not qualify, but a compiled contact list can), connects to the organization's systems or holds the organization's credentials or tokens (standing secrets that grant access to the organization's systems or data), or provides a service whose loss would stop or seriously disrupt the business.</w:t>
      </w:r>
    </w:p>
    <w:p>
      <w:pPr>
        <w:pStyle w:val="ListBullet"/>
      </w:pPr>
      <w:r>
        <w:t>Medium tier: the vendor handles only Internal information or provides an important but replaceable service.</w:t>
      </w:r>
    </w:p>
    <w:p>
      <w:pPr>
        <w:pStyle w:val="ListBullet"/>
      </w:pPr>
      <w:r>
        <w:t>Low tier: the vendor holds no organization information beyond business contact details and information classified Public, and has no connection to the organization's systems.</w:t>
      </w:r>
    </w:p>
    <w:p>
      <w:pPr>
        <w:pStyle w:val="ListBullet"/>
      </w:pPr>
      <w:r>
        <w:t xml:space="preserve">A vendor that meets any High criterion is High, whatever else describes it; Medium applies only where no High criterion is met. When in doubt between two tiers, choose the higher.</w:t>
      </w:r>
    </w:p>
    <w:p>
      <w:pPr>
        <w:pStyle w:val="ListBullet"/>
      </w:pPr>
      <w:r>
        <w:t xml:space="preserve">A pure utility (power, internet connectivity) that holds no organization information is planned for under the Business Continuity &amp; Disaster Recovery Plan rather than tiered here.</w:t>
      </w:r>
    </w:p>
    <w:p>
      <w:pPr>
        <w:pStyle w:val="ListBullet"/>
      </w:pPr>
      <w:r>
        <w:t xml:space="preserve">The tier sets the depth of assessment, the contract requirements, and the re-assessment cadence in the sections below.</w:t>
      </w:r>
    </w:p>
    <w:p>
      <w:pPr>
        <w:pStyle w:val="ListBullet"/>
      </w:pPr>
      <w:r>
        <w:t xml:space="preserve">Vendors already engaged when this policy takes effect are entered in the inventory and provisionally tiered (a best-estimate tier, confirmed or corrected by the assessment) within </w:t>
      </w:r>
      <w:r>
        <w:rPr>
          <w:highlight w:val="yellow"/>
        </w:rPr>
        <w:t>[30 days]</w:t>
      </w:r>
      <w:r>
        <w:t xml:space="preserve"> of the effective date. High-tier vendors are then assessed within </w:t>
      </w:r>
      <w:r>
        <w:rPr>
          <w:highlight w:val="yellow"/>
        </w:rPr>
        <w:t>[90 days]</w:t>
      </w:r>
      <w:r>
        <w:t xml:space="preserve"> of the effective date. Medium- and Low-tier vendors are assessed by their next renewal, or within </w:t>
      </w:r>
      <w:r>
        <w:rPr>
          <w:highlight w:val="yellow"/>
        </w:rPr>
        <w:t>[12 months]</w:t>
      </w:r>
      <w:r>
        <w:t xml:space="preserve"> of the effective date, whichever comes first.</w:t>
      </w:r>
    </w:p>
    <w:p>
      <w:pPr>
        <w:pStyle w:val="ListBullet"/>
      </w:pPr>
      <w:r>
        <w:t xml:space="preserve">Security operations checks the vendor inventory </w:t>
      </w:r>
      <w:r>
        <w:rPr>
          <w:highlight w:val="yellow"/>
        </w:rPr>
        <w:t xml:space="preserve">[quarterly]</w:t>
      </w:r>
      <w:r>
        <w:t xml:space="preserve"> against new payees and expense reimbursements in the accounting system, and against new app grants in the identity provider (IdP: the sign-in system). An unlisted service in business use is reported under Section 7.0.</w:t>
      </w:r>
    </w:p>
    <w:p>
      <w:pPr>
        <w:pStyle w:val="Heading2"/>
      </w:pPr>
      <w:r>
        <w:t xml:space="preserve">3.2 Security Assessment Before Engagement</w:t>
      </w:r>
    </w:p>
    <w:p>
      <w:pPr>
        <w:pStyle w:val="ListBullet"/>
      </w:pPr>
      <w:r>
        <w:t xml:space="preserve">A security assessment proportionate to the vendor's tier is completed and recorded before any vendor is engaged, and before any existing service expands to new data or access. For a new vendor, the tier is assigned provisionally (see Section 3.1). The sponsor requests the assessment before any commitment is made; the Information Security Lead performs or approves the assessment.</w:t>
      </w:r>
    </w:p>
    <w:p>
      <w:pPr>
        <w:pStyle w:val="ListBullet"/>
      </w:pPr>
      <w:r>
        <w:t>A High-tier assessment reviews independent assurance where the vendor offers it, such as an independent auditor's report on the vendor's security controls (a current SOC 2 report) or an ISO/IEC 27001 certificate. It also reviews the vendor's security documentation, its breach and incident history, where the organization's data will be stored and processed, and the subprocessors that will touch that data (subprocessors are the vendor's own vendors that handle the organization's data). For supplied software, it also reviews how the vendor secures its releases and updates. For a service whose loss would stop or seriously disrupt the business, the assessment also reviews the vendor's continuity arrangements and the organization's exit options if the vendor fails.</w:t>
      </w:r>
    </w:p>
    <w:p>
      <w:pPr>
        <w:pStyle w:val="ListBullet"/>
      </w:pPr>
      <w:r>
        <w:t>A Medium-tier assessment reviews the vendor's security documentation and the specific questions the service raises. A Low-tier assessment confirms the scope really is that narrow: nothing beyond business contact details and Public information, and no connection to the organization's systems.</w:t>
      </w:r>
    </w:p>
    <w:p>
      <w:pPr>
        <w:pStyle w:val="ListBullet"/>
      </w:pPr>
      <w:r>
        <w:t>Where a service uses the organization's information to train or improve its models, the assessment confirms whether the terms allow that use at all, and whether that use can be turned off. Where it can be turned off, it is turned off before the service handles the organization's information. A service that trains on Confidential information and offers no opt-out is not approved for that information.</w:t>
      </w:r>
    </w:p>
    <w:p>
      <w:pPr>
        <w:pStyle w:val="ListBullet"/>
      </w:pPr>
      <w:r>
        <w:t>Where a High-tier vendor offers no independent assurance, or any vendor cannot otherwise provide the evidence its tier calls for, that absence is itself a documented gap: it is recorded in the vendor record with compensating controls such as reduced data scope, tighter access, or a shorter review interval, and the remaining risk is accepted in writing under Section 3.3's acceptance rules before the vendor is engaged. A gap the vendor is expected to close by a set date may instead be handled through the exception process (see Section 6.0).</w:t>
      </w:r>
    </w:p>
    <w:p>
      <w:pPr>
        <w:pStyle w:val="ListBullet"/>
      </w:pPr>
      <w:r>
        <w:t>Where the vendor will handle personal information, the assessment also confirms that the contract includes the terms the applicable privacy laws require, per the legal duties the organization records under the Information Security Policy. Where those requirements are unclear, the organization takes legal advice.</w:t>
      </w:r>
    </w:p>
    <w:p>
      <w:pPr>
        <w:pStyle w:val="ListBullet"/>
      </w:pPr>
      <w:r>
        <w:t>The assessment and its outcome are recorded in the vendor inventory (where no system holds this record, use the vendor record in Appendix 1).</w:t>
      </w:r>
    </w:p>
    <w:p>
      <w:pPr>
        <w:pStyle w:val="Heading2"/>
      </w:pPr>
      <w:r>
        <w:t xml:space="preserve">3.3 Contracts and Agreements</w:t>
      </w:r>
    </w:p>
    <w:p>
      <w:pPr>
        <w:pStyle w:val="ListBullet"/>
      </w:pPr>
      <w:r>
        <w:t>Every vendor that handles Confidential information signs a contract with appropriate confidentiality terms before receiving it, as the Information Security Policy and Data Handling Policy require. Handling Confidential information makes a vendor High tier by definition, so the terms below apply to its agreement, whatever its form; the standard-terms rule later in this section governs terms the service does not meet. For Medium- and Low-tier vendors, the assessment decides whether a confidentiality agreement alone is enough.</w:t>
      </w:r>
    </w:p>
    <w:p>
      <w:pPr>
        <w:pStyle w:val="ListBullet"/>
      </w:pPr>
      <w:r>
        <w:t xml:space="preserve">Contracts with High-tier vendors include the following terms:</w:t>
      </w:r>
    </w:p>
    <w:p>
      <w:pPr>
        <w:pStyle w:val="ListBullet"/>
        <w:ind w:left="1440"/>
      </w:pPr>
      <w:r>
        <w:t xml:space="preserve">Security requirements suited to the service.</w:t>
      </w:r>
    </w:p>
    <w:p>
      <w:pPr>
        <w:pStyle w:val="ListBullet"/>
        <w:ind w:left="1440"/>
      </w:pPr>
      <w:r>
        <w:t xml:space="preserve">Availability commitments, where the business depends on the service.</w:t>
      </w:r>
    </w:p>
    <w:p>
      <w:pPr>
        <w:pStyle w:val="ListBullet"/>
        <w:ind w:left="1440"/>
      </w:pPr>
      <w:r>
        <w:t xml:space="preserve">Incident notification: the vendor tells the organization's designated contact about any incident affecting, or reasonably likely to affect, the organization's information or the service. Notice is given without undue delay, and in any case within </w:t>
      </w:r>
      <w:r>
        <w:rPr>
          <w:highlight w:val="yellow"/>
        </w:rPr>
        <w:t>[48 hours]</w:t>
      </w:r>
      <w:r>
        <w:t xml:space="preserve"> of the vendor first becoming aware of the incident or reasonably suspecting one. The vendor does not wait for its investigation to finish.</w:t>
      </w:r>
    </w:p>
    <w:p>
      <w:pPr>
        <w:pStyle w:val="ListBullet"/>
        <w:ind w:left="1440"/>
      </w:pPr>
      <w:r>
        <w:t xml:space="preserve">Cooperation in the organization's response.</w:t>
      </w:r>
    </w:p>
    <w:p>
      <w:pPr>
        <w:pStyle w:val="ListBullet"/>
        <w:ind w:left="1440"/>
      </w:pPr>
      <w:r>
        <w:t xml:space="preserve">Return or destruction of the organization's information at exit, with written confirmation, except where law requires the vendor to retain it.</w:t>
      </w:r>
    </w:p>
    <w:p>
      <w:pPr>
        <w:pStyle w:val="ListBullet"/>
        <w:ind w:left="1440"/>
      </w:pPr>
      <w:r>
        <w:t xml:space="preserve">Confidentiality obligations that survive the contract's end.</w:t>
      </w:r>
    </w:p>
    <w:p>
      <w:pPr>
        <w:pStyle w:val="ListBullet"/>
        <w:ind w:left="1440"/>
      </w:pPr>
      <w:r>
        <w:t xml:space="preserve">Disclosure of the subprocessors that touch the organization's information, and notice when they change.</w:t>
      </w:r>
    </w:p>
    <w:p>
      <w:pPr>
        <w:pStyle w:val="ListBullet"/>
        <w:ind w:left="1440"/>
      </w:pPr>
      <w:r>
        <w:t xml:space="preserve">Notice when vendor personnel with access to the organization's systems or information leave the vendor or that role. This term applies where the service is dedicated to the organization; it does not apply to multi-tenant services.</w:t>
      </w:r>
    </w:p>
    <w:p>
      <w:pPr>
        <w:pStyle w:val="ListBullet"/>
        <w:ind w:left="1440"/>
      </w:pPr>
      <w:r>
        <w:t xml:space="preserve">Notice before the organization's information is stored or processed in a new country.</w:t>
      </w:r>
    </w:p>
    <w:p>
      <w:pPr>
        <w:pStyle w:val="ListBullet"/>
        <w:ind w:left="1440"/>
      </w:pPr>
      <w:r>
        <w:t xml:space="preserve">The vendor's obligation to provide current security assurance (a report, certificate, or summary of testing) on request, no more than </w:t>
      </w:r>
      <w:r>
        <w:rPr>
          <w:highlight w:val="yellow"/>
        </w:rPr>
        <w:t xml:space="preserve">[once a year]</w:t>
      </w:r>
      <w:r>
        <w:t xml:space="preserve">, unless an incident gives reason to ask again.</w:t>
      </w:r>
    </w:p>
    <w:p>
      <w:pPr>
        <w:pStyle w:val="ListBullet"/>
        <w:ind w:left="1440"/>
      </w:pPr>
      <w:r>
        <w:t>For software the organization runs: notice of security vulnerabilities affecting the product, and of the end of security support.</w:t>
      </w:r>
    </w:p>
    <w:p>
      <w:pPr>
        <w:pStyle w:val="ListBullet"/>
        <w:ind w:left="1440"/>
      </w:pPr>
      <w:r>
        <w:rPr>
          <w:highlight w:val="yellow"/>
        </w:rPr>
        <w:t>[Set the incident-notification window above shorter than the shortest notice period the organization itself owes its customers and regulators.]</w:t>
      </w:r>
    </w:p>
    <w:p>
      <w:pPr>
        <w:pStyle w:val="ListBullet"/>
        <w:ind w:left="1440"/>
      </w:pPr>
      <w:r>
        <w:t>Notices the vendor sends under these terms go to the sponsor, who reports them to the Information Security Lead and treats them as potential re-assessment triggers under Section 3.5.</w:t>
      </w:r>
    </w:p>
    <w:p>
      <w:pPr>
        <w:pStyle w:val="ListBullet"/>
      </w:pPr>
      <w:r>
        <w:t>These terms are the contract-side half of duties the organization's other policies already state: the Incident Response Policy relies on vendor notification and cooperation, and the Data Handling Policy relies on return or destruction with confirmation.</w:t>
      </w:r>
    </w:p>
    <w:p>
      <w:pPr>
        <w:pStyle w:val="ListBullet"/>
      </w:pPr>
      <w:r>
        <w:t xml:space="preserve">Where a standard-terms service will not negotiate (most SaaS), the assessment evaluates the standard terms as they are. A term the service does not meet is recorded in the vendor record, with compensating controls where available. The Information Security Lead accepts the remaining risk in writing (Executive Management accepts it where the risk is significant), and the acceptance is revisited at each re-assessment and at least annually, as the Information Security Policy requires for every accepted risk. A recorded risk acceptance satisfies this section only for the terms it covers; every other requirement of this section and this policy still applies.</w:t>
      </w:r>
    </w:p>
    <w:p>
      <w:pPr>
        <w:pStyle w:val="ListBullet"/>
      </w:pPr>
      <w:r>
        <w:t xml:space="preserve">Accepting away the incident-notification or the return-or-destruction term for a High-tier vendor is always a significant risk, so only Executive Management can accept it. For a vendor that holds regulated data or runs a critical system, the incident-notification and cooperation terms are ones the Incident Response Policy requires; they are not accepted away, and a service that cannot meet them is not used for that role.</w:t>
      </w:r>
    </w:p>
    <w:p>
      <w:pPr>
        <w:pStyle w:val="ListBullet"/>
      </w:pPr>
      <w:r>
        <w:t>Requirements imposed by law, or by the organization's own contracts with its customers, cannot be accepted away: where a service's terms cannot meet a term the applicable privacy laws or a customer contract require, the service is not used for the information those requirements cover. Risk acceptance does not waive a legal, regulatory, or contractual requirement, as the Information Security Policy provides.</w:t>
      </w:r>
    </w:p>
    <w:p>
      <w:pPr>
        <w:pStyle w:val="Heading2"/>
      </w:pPr>
      <w:r>
        <w:t xml:space="preserve">3.4 Cloud and SaaS Services</w:t>
      </w:r>
    </w:p>
    <w:p>
      <w:pPr>
        <w:pStyle w:val="ListBullet"/>
      </w:pPr>
      <w:r>
        <w:t>Every cloud or SaaS service is approved before business use, through the assessment in Section 3.2. The Acceptable Use Policy prohibits adopting unapproved services (shadow IT), and approved services are published on that policy's approved list.</w:t>
      </w:r>
    </w:p>
    <w:p>
      <w:pPr>
        <w:pStyle w:val="ListBullet"/>
      </w:pPr>
      <w:r>
        <w:t>Adoption covers the whole life cycle. Before use, the service needs the assessment and an exit plan (how the organization's data comes out, and in what format). During use, the service is configured to the organization's security requirements (multi-factor authentication, or MFA, and access rules per the Access Control Policy) and is used through organization-controlled accounts, never personal ones. At the end, the exit follows Section 3.8.</w:t>
      </w:r>
    </w:p>
    <w:p>
      <w:pPr>
        <w:pStyle w:val="ListBullet"/>
      </w:pPr>
      <w:r>
        <w:t xml:space="preserve">Free tiers and trials are services too: they go through the same approval before any business use.</w:t>
      </w:r>
    </w:p>
    <w:p>
      <w:pPr>
        <w:pStyle w:val="Heading2"/>
      </w:pPr>
      <w:r>
        <w:t xml:space="preserve">3.5 Monitoring and Re-assessment</w:t>
      </w:r>
    </w:p>
    <w:p>
      <w:pPr>
        <w:pStyle w:val="ListBullet"/>
      </w:pPr>
      <w:r>
        <w:t xml:space="preserve">Vendors are re-assessed on a cadence set by tier: High </w:t>
      </w:r>
      <w:r>
        <w:rPr>
          <w:highlight w:val="yellow"/>
        </w:rPr>
        <w:t xml:space="preserve">[annually]</w:t>
      </w:r>
      <w:r>
        <w:t xml:space="preserve">, Medium </w:t>
      </w:r>
      <w:r>
        <w:rPr>
          <w:highlight w:val="yellow"/>
        </w:rPr>
        <w:t xml:space="preserve">[every two years]</w:t>
      </w:r>
      <w:r>
        <w:t xml:space="preserve">, Low at contract renewal or </w:t>
      </w:r>
      <w:r>
        <w:rPr>
          <w:highlight w:val="yellow"/>
        </w:rPr>
        <w:t xml:space="preserve">[every three years]</w:t>
      </w:r>
      <w:r>
        <w:t xml:space="preserve"> where there is no renewal. Appendix 1 records the cadence.</w:t>
      </w:r>
    </w:p>
    <w:p>
      <w:pPr>
        <w:pStyle w:val="ListBullet"/>
      </w:pPr>
      <w:r>
        <w:t>A re-assessment also happens promptly, regardless of cadence, when a trigger fires: the vendor suffers a breach or security incident, the service or its terms change materially, the vendor's data or access scope grows, the vendor changes ownership, or its service repeatedly fails. A sponsor leaving or changing role triggers reassignment and a scope confirmation by the new sponsor; a full re-assessment follows only where that confirmation finds change.</w:t>
      </w:r>
    </w:p>
    <w:p>
      <w:pPr>
        <w:pStyle w:val="ListBullet"/>
      </w:pPr>
      <w:r>
        <w:t>For High-tier vendors, the organization refreshes independent assurance where the vendor offers it (for example, each new SOC 2 report the vendor provides) and stays alert to public news of incidents affecting the vendor.</w:t>
      </w:r>
    </w:p>
    <w:p>
      <w:pPr>
        <w:pStyle w:val="ListBullet"/>
      </w:pPr>
      <w:r>
        <w:t>At each renewal the sponsor confirms the service is still needed and its data and access scope is still right. A vendor no one still sponsors is offboarded under Section 3.8.</w:t>
      </w:r>
    </w:p>
    <w:p>
      <w:pPr>
        <w:pStyle w:val="Heading2"/>
      </w:pPr>
      <w:r>
        <w:t xml:space="preserve">3.6 Subcontractors and the Supply Chain</w:t>
      </w:r>
    </w:p>
    <w:p>
      <w:pPr>
        <w:pStyle w:val="ListBullet"/>
      </w:pPr>
      <w:r>
        <w:t xml:space="preserve">High-tier vendors disclose the subprocessors that touch the organization's information and give notice when they add or change them; the contract requires the vendor to impose equivalent security duties on those subprocessors and to remain responsible to the organization for their performance.</w:t>
      </w:r>
    </w:p>
    <w:p>
      <w:pPr>
        <w:pStyle w:val="ListBullet"/>
      </w:pPr>
      <w:r>
        <w:t>The organization assesses how a High-tier vendor manages its own suppliers as part of the vendor's assessment; it does not directly assess the vendor's own suppliers (fourth parties).</w:t>
      </w:r>
    </w:p>
    <w:p>
      <w:pPr>
        <w:pStyle w:val="ListBullet"/>
      </w:pPr>
      <w:r>
        <w:t xml:space="preserve">Where many of the organization's services depend on one underlying provider, that concentration is noted in the vendor inventory and weighed in the organization's business continuity planning.</w:t>
      </w:r>
    </w:p>
    <w:p>
      <w:pPr>
        <w:pStyle w:val="Heading2"/>
      </w:pPr>
      <w:r>
        <w:t xml:space="preserve">3.7 Vendor Incidents</w:t>
      </w:r>
    </w:p>
    <w:p>
      <w:pPr>
        <w:pStyle w:val="ListBullet"/>
      </w:pPr>
      <w:r>
        <w:t xml:space="preserve">A suspected security incident at a vendor that may affect the organization's information or systems is reported and handled like any other incident, under the Incident Response Policy; the Information Security Lead and the sponsor coordinate with the vendor.</w:t>
      </w:r>
    </w:p>
    <w:p>
      <w:pPr>
        <w:pStyle w:val="ListBullet"/>
      </w:pPr>
      <w:r>
        <w:t xml:space="preserve">Security operations may suspend a vendor's access, accounts, or integrations while an incident is investigated, as part of containment under the Incident Response Policy.</w:t>
      </w:r>
    </w:p>
    <w:p>
      <w:pPr>
        <w:pStyle w:val="ListBullet"/>
      </w:pPr>
      <w:r>
        <w:t>The sponsor keeps each High-tier vendor's incident contacts current in the vendor record. This extends the Incident Response Policy's provider-contact duty to every High-tier vendor.</w:t>
      </w:r>
    </w:p>
    <w:p>
      <w:pPr>
        <w:pStyle w:val="ListBullet"/>
      </w:pPr>
      <w:r>
        <w:t xml:space="preserve">A vendor's failure to notify or cooperate as its contract requires is itself a finding: it feeds the next re-assessment and the decision to continue the relationship.</w:t>
      </w:r>
    </w:p>
    <w:p>
      <w:pPr>
        <w:pStyle w:val="Heading2"/>
      </w:pPr>
      <w:r>
        <w:t xml:space="preserve">3.8 Offboarding and Exit</w:t>
      </w:r>
    </w:p>
    <w:p>
      <w:pPr>
        <w:pStyle w:val="ListBullet"/>
      </w:pPr>
      <w:r>
        <w:t xml:space="preserve">Every engagement has an end date or a renewal checkpoint; for agreements that renew automatically, the sponsor sets a renewal checkpoint at least </w:t>
      </w:r>
      <w:r>
        <w:rPr>
          <w:highlight w:val="yellow"/>
        </w:rPr>
        <w:t>[annually]</w:t>
      </w:r>
      <w:r>
        <w:t>, and that checkpoint is the renewal for the purposes of this policy. Where the vendor holds access to the organization's systems, the Access Control Policy requires a recorded end date and removal of that access when the engagement ends.</w:t>
      </w:r>
    </w:p>
    <w:p>
      <w:pPr>
        <w:pStyle w:val="ListBullet"/>
      </w:pPr>
      <w:r>
        <w:t>At exit:</w:t>
      </w:r>
    </w:p>
    <w:p>
      <w:pPr>
        <w:pStyle w:val="ListBullet"/>
        <w:ind w:left="1440"/>
      </w:pPr>
      <w:r>
        <w:t>The vendor's access, accounts, and integrations are removed per the Access Control Policy.</w:t>
      </w:r>
    </w:p>
    <w:p>
      <w:pPr>
        <w:pStyle w:val="ListBullet"/>
        <w:ind w:left="1440"/>
      </w:pPr>
      <w:r>
        <w:t>Credentials, tokens, and any other standing secrets the vendor held or could reach are revoked or rotated, and the rotation is recorded.</w:t>
      </w:r>
    </w:p>
    <w:p>
      <w:pPr>
        <w:pStyle w:val="ListBullet"/>
        <w:ind w:left="1440"/>
      </w:pPr>
      <w:r>
        <w:t>The organization's information is returned or destroyed as the contract requires, and the confirmation is kept as the Data Handling Policy requires.</w:t>
      </w:r>
    </w:p>
    <w:p>
      <w:pPr>
        <w:pStyle w:val="ListBullet"/>
        <w:ind w:left="1440"/>
      </w:pPr>
      <w:r>
        <w:t>For cloud services, the organization's data is exported per the exit plan before the service is terminated.</w:t>
      </w:r>
    </w:p>
    <w:p>
      <w:pPr>
        <w:pStyle w:val="ListBullet"/>
      </w:pPr>
      <w:r>
        <w:t xml:space="preserve">The exit and its confirmations are recorded in the vendor inventory, and the confidentiality obligations that survive the contract remain in force.</w:t>
      </w:r>
    </w:p>
    <w:p>
      <w:pPr>
        <w:pStyle w:val="Heading1"/>
      </w:pPr>
      <w:r>
        <w:t xml:space="preserve">4.0 Roles and Responsibilities</w:t>
      </w:r>
    </w:p>
    <w:p>
      <w:pPr>
        <w:pStyle w:val="ListBullet"/>
      </w:pPr>
      <w:r>
        <w:t xml:space="preserve">The Information Security Lead owns this policy and answers questions about what it requires. The Lead:</w:t>
      </w:r>
    </w:p>
    <w:p>
      <w:pPr>
        <w:pStyle w:val="ListBullet"/>
        <w:ind w:left="1440"/>
      </w:pPr>
      <w:r>
        <w:t>Performs or approves vendor assessments (delegating by tier where sensible) and assigns tiers.</w:t>
      </w:r>
    </w:p>
    <w:p>
      <w:pPr>
        <w:pStyle w:val="ListBullet"/>
        <w:ind w:left="1440"/>
      </w:pPr>
      <w:r>
        <w:t xml:space="preserve">Approves cloud and SaaS services (Section 3.4).</w:t>
      </w:r>
    </w:p>
    <w:p>
      <w:pPr>
        <w:pStyle w:val="ListBullet"/>
        <w:ind w:left="1440"/>
      </w:pPr>
      <w:r>
        <w:t xml:space="preserve">Signs non-significant risk acceptances (Section 3.3).</w:t>
      </w:r>
    </w:p>
    <w:p>
      <w:pPr>
        <w:pStyle w:val="ListBullet"/>
        <w:ind w:left="1440"/>
      </w:pPr>
      <w:r>
        <w:t xml:space="preserve">Tracks re-assessment cadences and triggers.</w:t>
      </w:r>
    </w:p>
    <w:p>
      <w:pPr>
        <w:pStyle w:val="ListBullet"/>
        <w:ind w:left="1440"/>
      </w:pPr>
      <w:r>
        <w:t xml:space="preserve">Reassigns vendors when a sponsor leaves or changes role.</w:t>
      </w:r>
    </w:p>
    <w:p>
      <w:pPr>
        <w:pStyle w:val="ListBullet"/>
      </w:pPr>
      <w:r>
        <w:t xml:space="preserve">Every vendor has a sponsor: the person who manages the relationship. This is the same internal sponsor the Access Control Policy requires for third-party access. The sponsor:</w:t>
      </w:r>
    </w:p>
    <w:p>
      <w:pPr>
        <w:pStyle w:val="ListBullet"/>
        <w:ind w:left="1440"/>
      </w:pPr>
      <w:r>
        <w:t xml:space="preserve">Requests the assessment before any commitment is made.</w:t>
      </w:r>
    </w:p>
    <w:p>
      <w:pPr>
        <w:pStyle w:val="ListBullet"/>
        <w:ind w:left="1440"/>
      </w:pPr>
      <w:r>
        <w:t xml:space="preserve">Confirms at each renewal that the service is still needed and its data and access scope is still right.</w:t>
      </w:r>
    </w:p>
    <w:p>
      <w:pPr>
        <w:pStyle w:val="ListBullet"/>
        <w:ind w:left="1440"/>
      </w:pPr>
      <w:r>
        <w:t>Starts the offboarding when the service is no longer needed.</w:t>
      </w:r>
    </w:p>
    <w:p>
      <w:pPr>
        <w:pStyle w:val="ListBullet"/>
        <w:ind w:left="1440"/>
      </w:pPr>
      <w:r>
        <w:t>Records material outages of the service (date, duration, impact, action taken) in the vendor record; repeated failure is a re-assessment trigger (Section 3.5).</w:t>
      </w:r>
    </w:p>
    <w:p>
      <w:pPr>
        <w:pStyle w:val="ListBullet"/>
        <w:ind w:left="1440"/>
      </w:pPr>
      <w:r>
        <w:t xml:space="preserve">Reports to the Information Security Lead any Section 3.5 trigger they become aware of, including material changes to the service or its terms.</w:t>
      </w:r>
    </w:p>
    <w:p>
      <w:pPr>
        <w:pStyle w:val="ListBullet"/>
      </w:pPr>
      <w:r>
        <w:t xml:space="preserve">Security operations, with IT, maintains the vendor inventory alongside the Information Security Lead. It also implements and removes vendor access, accounts, and integrations, monitors their activity per the Access Control Policy, and runs the </w:t>
      </w:r>
      <w:r>
        <w:rPr>
          <w:highlight w:val="yellow"/>
        </w:rPr>
        <w:t>[quarterly]</w:t>
      </w:r>
      <w:r>
        <w:t xml:space="preserve"> review in Section 3.1. The function may be an internal team or a qualified service provider; in a small organization the Information Security Lead performs it, as the Information Security Policy provides.</w:t>
      </w:r>
    </w:p>
    <w:p>
      <w:pPr>
        <w:pStyle w:val="ListBullet"/>
      </w:pPr>
      <w:r>
        <w:t>Only people with the organization's written authorization to sign on its behalf enter vendor contracts for services this policy covers (see Section 2.0). Online terms accepted by click-through are contracts too. No contract is entered before the Section 3.2 assessment is recorded. Executive Management accepts significant vendor risks, as the Information Security Policy provides.</w:t>
      </w:r>
    </w:p>
    <w:p>
      <w:pPr>
        <w:pStyle w:val="ListBullet"/>
      </w:pPr>
      <w:r>
        <w:t>Everyone engages vendors and services only through this process. Adopting an unapproved service for business data is prohibited by the Acceptable Use Policy.</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Promptly report suspected vendor security incidents, a vendor handling the organization's information in ways it should not, unapproved services in business use, and other security concerns.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Access Control Policy: third-party accounts, access, and integrations.</w:t>
      </w:r>
    </w:p>
    <w:p>
      <w:pPr>
        <w:pStyle w:val="ListBullet"/>
      </w:pPr>
      <w:r>
        <w:t xml:space="preserve">The Data Handling Policy: what may be shared with a vendor, and the return or destruction of information at exit.</w:t>
      </w:r>
    </w:p>
    <w:p>
      <w:pPr>
        <w:pStyle w:val="ListBullet"/>
      </w:pPr>
      <w:r>
        <w:t xml:space="preserve">The Incident Response Policy: handling vendor incidents, and the notification duties this policy writes into contracts.</w:t>
      </w:r>
    </w:p>
    <w:p>
      <w:pPr>
        <w:pStyle w:val="ListBullet"/>
      </w:pPr>
      <w:r>
        <w:t xml:space="preserve">The Acceptable Use Policy: the ban on adopting unapproved services.</w:t>
      </w:r>
    </w:p>
    <w:p>
      <w:pPr>
        <w:pStyle w:val="ListBullet"/>
      </w:pPr>
      <w:r>
        <w:t xml:space="preserve">The Secure Development Policy: the contract terms and delivery review for vendors who develop for the organization.</w:t>
      </w:r>
    </w:p>
    <w:p>
      <w:pPr>
        <w:pStyle w:val="ListBullet"/>
      </w:pPr>
      <w:r>
        <w:t xml:space="preserve">The Remote Work &amp; Mobile Device Policy: the contractor-firm devices it accepts by contract, with the equivalent controls that contract must require.</w:t>
      </w:r>
    </w:p>
    <w:p>
      <w:pPr>
        <w:pStyle w:val="ListBullet"/>
      </w:pPr>
      <w:r>
        <w:t xml:space="preserve">The Physical and Environmental Security Policy: the cloud, data-center, maintenance, and destruction providers it relies on this policy to assess.</w:t>
      </w:r>
    </w:p>
    <w:p>
      <w:pPr>
        <w:pStyle w:val="ListBullet"/>
      </w:pPr>
      <w:r>
        <w:t xml:space="preserve">The Business Continuity &amp; Disaster Recovery Plan: how the organization keeps operating when a critical vendor fails; this policy manages the vendor before and after.</w:t>
      </w:r>
    </w:p>
    <w:p>
      <w:pPr>
        <w:pStyle w:val="ListBullet"/>
      </w:pPr>
      <w:r>
        <w:t xml:space="preserve">The AI Acceptable Use Policy: the use-side rules for AI tools; this policy assesses the vendors behind them.</w:t>
      </w:r>
    </w:p>
    <w:p>
      <w:pPr>
        <w:pStyle w:val="ListBullet"/>
      </w:pPr>
      <w:r>
        <w:t xml:space="preserve">The Email Security Policy: the mail protections that depend on the email provider this policy assesses.</w:t>
      </w:r>
    </w:p>
    <w:p>
      <w:r>
        <w:t xml:space="preserve">Where any of these does not exist yet, treat it as a roadmap item; the rules in this policy apply on their own regardless.</w:t>
      </w:r>
    </w:p>
    <w:p>
      <w:r>
        <w:t>At a policy level, these rules put into practice the supplier relationship controls of ISO/IEC 27001:2022 Annex A: controls 5.19 to 5.22 (information security in supplier relationships; addressing information security within supplier agreements; managing information security in the information and communication technology (ICT) supply chain; and monitoring, review and change management of supplier services) and control 5.23 (information security for use of cloud services). They support the Govern function of the NIST Cybersecurity Framework 2.0, in particular the Cybersecurity Supply Chain Risk Management category (GV.SC), and the framework's Identify function through the assessment of vendor risk.</w:t>
      </w:r>
    </w:p>
    <w:p>
      <w:pPr>
        <w:pStyle w:val="Heading1"/>
      </w:pPr>
      <w:r>
        <w:t xml:space="preserve">Appendix 1: Vendor Tiers and Vendor Record</w:t>
      </w:r>
    </w:p>
    <w:p>
      <w:r>
        <w:t xml:space="preserve">Set the tiers and cadences to fit the organization; this scheme is a starting point most organizations can adopt as-is. A vendor that meets any High criterion is High; when in doubt between two tiers, choose the higher.</w:t>
      </w:r>
    </w:p>
    <w:tbl>
      <w:tblPr>
        <w:tblStyle w:val="TableGrid"/>
        <w:tblW w:type="auto" w:w="0"/>
        <w:tblLook w:firstColumn="1" w:firstRow="1" w:lastColumn="0" w:lastRow="0" w:noHBand="0" w:noVBand="1" w:val="04A0"/>
      </w:tblPr>
      <w:tblGrid>
        <w:gridCol w:w="1080"/>
        <w:gridCol w:w="4320"/>
        <w:gridCol w:w="3060"/>
        <w:gridCol w:w="2340"/>
      </w:tblGrid>
      <w:tr>
        <w:tc>
          <w:tcPr>
            <w:tcW w:type="dxa" w:w="1080"/>
          </w:tcPr>
          <w:p>
            <w:r>
              <w:rPr>
                <w:b/>
              </w:rPr>
              <w:t xml:space="preserve">Tier</w:t>
            </w:r>
          </w:p>
        </w:tc>
        <w:tc>
          <w:tcPr>
            <w:tcW w:type="dxa" w:w="4320"/>
          </w:tcPr>
          <w:p>
            <w:r>
              <w:rPr>
                <w:b/>
              </w:rPr>
              <w:t xml:space="preserve">What qualifies</w:t>
            </w:r>
          </w:p>
        </w:tc>
        <w:tc>
          <w:tcPr>
            <w:tcW w:type="dxa" w:w="3060"/>
          </w:tcPr>
          <w:p>
            <w:r>
              <w:rPr>
                <w:b/>
              </w:rPr>
              <w:t xml:space="preserve">Assessment before engagement</w:t>
            </w:r>
          </w:p>
        </w:tc>
        <w:tc>
          <w:tcPr>
            <w:tcW w:type="dxa" w:w="2340"/>
          </w:tcPr>
          <w:p>
            <w:r>
              <w:rPr>
                <w:b/>
              </w:rPr>
              <w:t xml:space="preserve">Re-assessment</w:t>
            </w:r>
          </w:p>
        </w:tc>
      </w:tr>
      <w:tr>
        <w:tc>
          <w:tcPr>
            <w:tcW w:type="dxa" w:w="1080"/>
          </w:tcPr>
          <w:p>
            <w:r>
              <w:t xml:space="preserve">High</w:t>
            </w:r>
          </w:p>
        </w:tc>
        <w:tc>
          <w:tcPr>
            <w:tcW w:type="dxa" w:w="4320"/>
          </w:tcPr>
          <w:p>
            <w:r>
              <w:t>Stores or processes Confidential information (including personal information; incidental business contact details do not qualify, but a compiled contact list can), connects to the organization's systems or holds the organization's credentials or tokens (standing secrets that grant access to the organization's systems or data), or provides a service whose loss would stop or seriously disrupt the business</w:t>
            </w:r>
          </w:p>
        </w:tc>
        <w:tc>
          <w:tcPr>
            <w:tcW w:type="dxa" w:w="3060"/>
          </w:tcPr>
          <w:p>
            <w:r>
              <w:t xml:space="preserve">Independent assurance where offered (such as a SOC 2 report or ISO/IEC 27001 certificate), security documentation, breach history, data locations, subprocessors; for supplied software, its release and update security; continuity and exit options where the business depends on it</w:t>
            </w:r>
          </w:p>
        </w:tc>
        <w:tc>
          <w:tcPr>
            <w:tcW w:type="dxa" w:w="2340"/>
          </w:tcPr>
          <w:p>
            <w:r>
              <w:rPr>
                <w:highlight w:val="yellow"/>
              </w:rPr>
              <w:t xml:space="preserve">[Annually]</w:t>
            </w:r>
            <w:r>
              <w:t xml:space="preserve">, and on any trigger in Section 3.5</w:t>
            </w:r>
          </w:p>
        </w:tc>
      </w:tr>
      <w:tr>
        <w:tc>
          <w:tcPr>
            <w:tcW w:type="dxa" w:w="1080"/>
          </w:tcPr>
          <w:p>
            <w:r>
              <w:t xml:space="preserve">Medium</w:t>
            </w:r>
          </w:p>
        </w:tc>
        <w:tc>
          <w:tcPr>
            <w:tcW w:type="dxa" w:w="4320"/>
          </w:tcPr>
          <w:p>
            <w:r>
              <w:t xml:space="preserve">Meets no High criterion, and handles only Internal information or provides an important but replaceable service</w:t>
            </w:r>
          </w:p>
        </w:tc>
        <w:tc>
          <w:tcPr>
            <w:tcW w:type="dxa" w:w="3060"/>
          </w:tcPr>
          <w:p>
            <w:r>
              <w:t xml:space="preserve">Security documentation and the questions the service raises</w:t>
            </w:r>
          </w:p>
        </w:tc>
        <w:tc>
          <w:tcPr>
            <w:tcW w:type="dxa" w:w="2340"/>
          </w:tcPr>
          <w:p>
            <w:r>
              <w:rPr>
                <w:highlight w:val="yellow"/>
              </w:rPr>
              <w:t xml:space="preserve">[Every two years]</w:t>
            </w:r>
            <w:r>
              <w:t xml:space="preserve">, and on triggers</w:t>
            </w:r>
          </w:p>
        </w:tc>
      </w:tr>
      <w:tr>
        <w:tc>
          <w:tcPr>
            <w:tcW w:type="dxa" w:w="1080"/>
          </w:tcPr>
          <w:p>
            <w:r>
              <w:t xml:space="preserve">Low</w:t>
            </w:r>
          </w:p>
        </w:tc>
        <w:tc>
          <w:tcPr>
            <w:tcW w:type="dxa" w:w="4320"/>
          </w:tcPr>
          <w:p>
            <w:r>
              <w:t xml:space="preserve">No organization information beyond business contact details and information classified Public, and no connection to the organization's systems</w:t>
            </w:r>
          </w:p>
        </w:tc>
        <w:tc>
          <w:tcPr>
            <w:tcW w:type="dxa" w:w="3060"/>
          </w:tcPr>
          <w:p>
            <w:r>
              <w:t xml:space="preserve">Confirm the scope really is this narrow</w:t>
            </w:r>
          </w:p>
        </w:tc>
        <w:tc>
          <w:tcPr>
            <w:tcW w:type="dxa" w:w="2340"/>
          </w:tcPr>
          <w:p>
            <w:r>
              <w:t xml:space="preserve">At contract renewal (or </w:t>
            </w:r>
            <w:r>
              <w:rPr>
                <w:highlight w:val="yellow"/>
              </w:rPr>
              <w:t xml:space="preserve">[every three years]</w:t>
            </w:r>
            <w:r>
              <w:t xml:space="preserve">), and on triggers</w:t>
            </w:r>
          </w:p>
        </w:tc>
      </w:tr>
    </w:tbl>
    <w:p>
      <w:pPr>
        <w:pageBreakBefore/>
      </w:pPr>
      <w:r>
        <w:t xml:space="preserve">Keep a record for each vendor, here or in the system used for the inventory:</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Vendor and service</w:t>
            </w:r>
          </w:p>
        </w:tc>
        <w:tc>
          <w:tcPr>
            <w:tcW w:type="dxa" w:w="5400"/>
          </w:tcPr>
          <w:p/>
        </w:tc>
      </w:tr>
      <w:tr>
        <w:tc>
          <w:tcPr>
            <w:tcW w:type="dxa" w:w="5400"/>
          </w:tcPr>
          <w:p>
            <w:r>
              <w:rPr>
                <w:b/>
              </w:rPr>
              <w:t xml:space="preserve">Sponsor (name and role)</w:t>
            </w:r>
          </w:p>
        </w:tc>
        <w:tc>
          <w:tcPr>
            <w:tcW w:type="dxa" w:w="5400"/>
          </w:tcPr>
          <w:p/>
        </w:tc>
      </w:tr>
      <w:tr>
        <w:tc>
          <w:tcPr>
            <w:tcW w:type="dxa" w:w="5400"/>
          </w:tcPr>
          <w:p>
            <w:r>
              <w:rPr>
                <w:b/>
              </w:rPr>
              <w:t xml:space="preserve">Risk tier and why</w:t>
            </w:r>
          </w:p>
        </w:tc>
        <w:tc>
          <w:tcPr>
            <w:tcW w:type="dxa" w:w="5400"/>
          </w:tcPr>
          <w:p/>
        </w:tc>
      </w:tr>
      <w:tr>
        <w:tc>
          <w:tcPr>
            <w:tcW w:type="dxa" w:w="5400"/>
          </w:tcPr>
          <w:p>
            <w:r>
              <w:rPr>
                <w:b/>
              </w:rPr>
              <w:t xml:space="preserve">Information and access held</w:t>
            </w:r>
          </w:p>
        </w:tc>
        <w:tc>
          <w:tcPr>
            <w:tcW w:type="dxa" w:w="5400"/>
          </w:tcPr>
          <w:p/>
        </w:tc>
      </w:tr>
      <w:tr>
        <w:tc>
          <w:tcPr>
            <w:tcW w:type="dxa" w:w="5400"/>
          </w:tcPr>
          <w:p>
            <w:r>
              <w:rPr>
                <w:b/>
              </w:rPr>
              <w:t xml:space="preserve">Assessment (what was reviewed, by whom, date)</w:t>
            </w:r>
          </w:p>
        </w:tc>
        <w:tc>
          <w:tcPr>
            <w:tcW w:type="dxa" w:w="5400"/>
          </w:tcPr>
          <w:p/>
        </w:tc>
      </w:tr>
      <w:tr>
        <w:tc>
          <w:tcPr>
            <w:tcW w:type="dxa" w:w="5400"/>
          </w:tcPr>
          <w:p>
            <w:r>
              <w:rPr>
                <w:b/>
              </w:rPr>
              <w:t>Contract terms confirmed (High tier: the full Section 3.3 list; below High: the terms the assessment required)</w:t>
            </w:r>
          </w:p>
        </w:tc>
        <w:tc>
          <w:tcPr>
            <w:tcW w:type="dxa" w:w="5400"/>
          </w:tcPr>
          <w:p/>
        </w:tc>
      </w:tr>
      <w:tr>
        <w:tc>
          <w:tcPr>
            <w:tcW w:type="dxa" w:w="5400"/>
          </w:tcPr>
          <w:p>
            <w:r>
              <w:rPr>
                <w:b/>
              </w:rPr>
              <w:t xml:space="preserve">Data locations</w:t>
            </w:r>
          </w:p>
        </w:tc>
        <w:tc>
          <w:tcPr>
            <w:tcW w:type="dxa" w:w="5400"/>
          </w:tcPr>
          <w:p/>
        </w:tc>
      </w:tr>
      <w:tr>
        <w:tc>
          <w:tcPr>
            <w:tcW w:type="dxa" w:w="5400"/>
          </w:tcPr>
          <w:p>
            <w:r>
              <w:rPr>
                <w:b/>
              </w:rPr>
              <w:t xml:space="preserve">AI training use (and opt-out status)</w:t>
            </w:r>
          </w:p>
        </w:tc>
        <w:tc>
          <w:tcPr>
            <w:tcW w:type="dxa" w:w="5400"/>
          </w:tcPr>
          <w:p/>
        </w:tc>
      </w:tr>
      <w:tr>
        <w:tc>
          <w:tcPr>
            <w:tcW w:type="dxa" w:w="5400"/>
          </w:tcPr>
          <w:p>
            <w:r>
              <w:rPr>
                <w:b/>
              </w:rPr>
              <w:t xml:space="preserve">Risk acceptances and exceptions (what, compensating controls, review date)</w:t>
            </w:r>
          </w:p>
        </w:tc>
        <w:tc>
          <w:tcPr>
            <w:tcW w:type="dxa" w:w="5400"/>
          </w:tcPr>
          <w:p/>
        </w:tc>
      </w:tr>
      <w:tr>
        <w:tc>
          <w:tcPr>
            <w:tcW w:type="dxa" w:w="5400"/>
          </w:tcPr>
          <w:p>
            <w:r>
              <w:rPr>
                <w:b/>
              </w:rPr>
              <w:t xml:space="preserve">Subprocessors disclosed</w:t>
            </w:r>
          </w:p>
        </w:tc>
        <w:tc>
          <w:tcPr>
            <w:tcW w:type="dxa" w:w="5400"/>
          </w:tcPr>
          <w:p/>
        </w:tc>
      </w:tr>
      <w:tr>
        <w:tc>
          <w:tcPr>
            <w:tcW w:type="dxa" w:w="5400"/>
          </w:tcPr>
          <w:p>
            <w:r>
              <w:rPr>
                <w:b/>
              </w:rPr>
              <w:t xml:space="preserve">Incident contact (High tier)</w:t>
            </w:r>
          </w:p>
        </w:tc>
        <w:tc>
          <w:tcPr>
            <w:tcW w:type="dxa" w:w="5400"/>
          </w:tcPr>
          <w:p/>
        </w:tc>
      </w:tr>
      <w:tr>
        <w:tc>
          <w:tcPr>
            <w:tcW w:type="dxa" w:w="5400"/>
          </w:tcPr>
          <w:p>
            <w:r>
              <w:rPr>
                <w:b/>
              </w:rPr>
              <w:t xml:space="preserve">Outage history (date, duration, impact, action taken)</w:t>
            </w:r>
          </w:p>
        </w:tc>
        <w:tc>
          <w:tcPr>
            <w:tcW w:type="dxa" w:w="5400"/>
          </w:tcPr>
          <w:p/>
        </w:tc>
      </w:tr>
      <w:tr>
        <w:tc>
          <w:tcPr>
            <w:tcW w:type="dxa" w:w="5400"/>
          </w:tcPr>
          <w:p>
            <w:r>
              <w:rPr>
                <w:b/>
              </w:rPr>
              <w:t xml:space="preserve">Concentration (shared underlying provider)</w:t>
            </w:r>
          </w:p>
        </w:tc>
        <w:tc>
          <w:tcPr>
            <w:tcW w:type="dxa" w:w="5400"/>
          </w:tcPr>
          <w:p/>
        </w:tc>
      </w:tr>
      <w:tr>
        <w:tc>
          <w:tcPr>
            <w:tcW w:type="dxa" w:w="5400"/>
          </w:tcPr>
          <w:p>
            <w:r>
              <w:rPr>
                <w:b/>
              </w:rPr>
              <w:t xml:space="preserve">Exit plan (cloud: how the data comes out, and in what format)</w:t>
            </w:r>
          </w:p>
        </w:tc>
        <w:tc>
          <w:tcPr>
            <w:tcW w:type="dxa" w:w="5400"/>
          </w:tcPr>
          <w:p/>
        </w:tc>
      </w:tr>
      <w:tr>
        <w:tc>
          <w:tcPr>
            <w:tcW w:type="dxa" w:w="5400"/>
          </w:tcPr>
          <w:p>
            <w:r>
              <w:rPr>
                <w:b/>
              </w:rPr>
              <w:t xml:space="preserve">Renewal or end date</w:t>
            </w:r>
          </w:p>
        </w:tc>
        <w:tc>
          <w:tcPr>
            <w:tcW w:type="dxa" w:w="5400"/>
          </w:tcPr>
          <w:p/>
        </w:tc>
      </w:tr>
      <w:tr>
        <w:tc>
          <w:tcPr>
            <w:tcW w:type="dxa" w:w="5400"/>
          </w:tcPr>
          <w:p>
            <w:r>
              <w:rPr>
                <w:b/>
              </w:rPr>
              <w:t xml:space="preserve">Re-assessment due</w:t>
            </w:r>
          </w:p>
        </w:tc>
        <w:tc>
          <w:tcPr>
            <w:tcW w:type="dxa" w:w="5400"/>
          </w:tcPr>
          <w:p/>
        </w:tc>
      </w:tr>
      <w:tr>
        <w:tc>
          <w:tcPr>
            <w:tcW w:type="dxa" w:w="5400"/>
          </w:tcPr>
          <w:p>
            <w:r>
              <w:rPr>
                <w:b/>
              </w:rPr>
              <w:t xml:space="preserve">Exit completed (access removed, data returned or destroyed, confirmation kept)</w:t>
            </w:r>
          </w:p>
        </w:tc>
        <w:tc>
          <w:tcPr>
            <w:tcW w:type="dxa" w:w="5400"/>
          </w:tcP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Vendor Risk Management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3638</Words>
  <Characters>20653</Characters>
  <DocSecurity>0</DocSecurity>
  <Lines>238</Lines>
  <Paragraphs>148</Paragraphs>
  <ScaleCrop>false</ScaleCrop>
  <HeadingPairs>
    <vt:vector size="2" baseType="variant">
      <vt:variant>
        <vt:lpstr>Title</vt:lpstr>
      </vt:variant>
      <vt:variant>
        <vt:i4>1</vt:i4>
      </vt:variant>
    </vt:vector>
  </HeadingPairs>
  <TitlesOfParts>
    <vt:vector size="1" baseType="lpstr">
      <vt:lpstr>Vendor Risk Management Policy</vt:lpstr>
    </vt:vector>
  </TitlesOfParts>
  <Manager/>
  <Company>anoBytes Technology Solutions LLC</Company>
  <LinksUpToDate>false</LinksUpToDate>
  <CharactersWithSpaces>24308</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Vendor Risk Management Policy</dc:title>
  <dc:subject>Vendor risk management policy template</dc:subject>
  <dc:creator>Nelson Pereira, anoBytes Technology Solutions LLC</dc:creator>
  <cp:keywords>soc 2, subprocessors, contracts, vendor inventory, vendor record, sponsor, high-tier, independent assurance, exit plan, vendor incidents, security documentation, third-party</cp:keywords>
  <dc:description>The vendor and supply chain companion to our security policy set: tiered assessments, contract requirements, monitoring with re-assessment triggers, and clean exits. Free to adapt for your organization.</dc:description>
  <cp:lastModifiedBy/>
  <cp:revision>1</cp:revision>
  <dcterms:created xsi:type="dcterms:W3CDTF">2026-07-14T00:00:00Z</dcterms:created>
  <dcterms:modified xsi:type="dcterms:W3CDTF">2026-08-06T00:00:00Z</dcterms:modified>
  <cp:category>Template</cp:category>
</cp:coreProperties>
</file>