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Vendor Security Assessment Checklist</w:t>
      </w:r>
    </w:p>
    <w:p>
      <w:r>
        <w:t xml:space="preserve">One completed copy of this checklist is one vendor security assessment: the review a vendor gets before the organization engages it, before an existing service expands to new data or access, and again at each re-assessment. The Vendor Risk Management Policy requires that assessment and sets its rules; this checklist walks through them and becomes the record. Where that policy is not adopted, the checklist still stands on its own as a complete assessment.</w:t>
      </w:r>
    </w:p>
    <w:p>
      <w:r>
        <w:t xml:space="preserve">Work top to bottom. The tier set in Section 2.0 sets the depth of everything after it; a Low-tier vendor takes the short path (Sections 2.0, 3.0, 5.0, and 8.0). A free tier or a trial is a service too: it gets this assessment before any business use. Text in </w:t>
      </w:r>
      <w:r>
        <w:rPr>
          <w:highlight w:val="yellow"/>
        </w:rPr>
        <w:t xml:space="preserve">[brackets]</w:t>
      </w:r>
      <w:r>
        <w:t xml:space="preserve"> is a placeholder or a starting value; the starting values are the policy's, so where the organization has adopted the policy with different values, copy those in and keep the two matched. Where the policy is adopted and this checklist disagrees with it, the policy wins.</w:t>
      </w:r>
    </w:p>
    <w:p>
      <w:r>
        <w:t xml:space="preserve">This checklist covers the assessment that the supplier relationship controls of ISO/IEC 27001:2022 Annex A (controls 5.19 to 5.23) call for, and a completed copy supports the Cybersecurity Supply Chain Risk Management category (GV.SC) of the NIST Cybersecurity Framework (CSF) 2.0.</w:t>
      </w:r>
    </w:p>
    <w:p>
      <w:pPr>
        <w:pStyle w:val="Heading1"/>
      </w:pPr>
      <w:r>
        <w:t xml:space="preserve">1.0 Vendor and Service</w:t>
      </w:r>
    </w:p>
    <w:p>
      <w:r>
        <w:t xml:space="preserve">Who is being assessed, and why. The sponsor (the person who manages the vendor relationship) requests the assessment before any commitment is made; the Information Security Lead performs or approves it. No contract is entered before this assessment is recorded, and online terms accepted by click-through are contracts too.</w:t>
      </w:r>
    </w:p>
    <w:tbl>
      <w:tblPr>
        <w:tblStyle w:val="TableGrid"/>
        <w:tblW w:type="auto" w:w="0"/>
        <w:tblLook w:firstColumn="1" w:firstRow="1" w:lastColumn="0" w:lastRow="0" w:noHBand="0" w:noVBand="1" w:val="04A0"/>
      </w:tblPr>
      <w:tblGrid>
        <w:gridCol w:w="3300"/>
        <w:gridCol w:w="7500"/>
      </w:tblGrid>
      <w:tr>
        <w:tc>
          <w:tcPr>
            <w:tcW w:type="dxa" w:w="3300"/>
          </w:tcPr>
          <w:p>
            <w:r>
              <w:rPr>
                <w:b/>
              </w:rPr>
              <w:t xml:space="preserve">Organization</w:t>
            </w:r>
          </w:p>
        </w:tc>
        <w:tc>
          <w:tcPr>
            <w:tcW w:type="dxa" w:w="7500"/>
          </w:tcPr>
          <w:p>
            <w:r>
              <w:rPr>
                <w:highlight w:val="yellow"/>
              </w:rPr>
              <w:t xml:space="preserve">[Company Name]</w:t>
            </w:r>
          </w:p>
        </w:tc>
      </w:tr>
      <w:tr>
        <w:tc>
          <w:tcPr>
            <w:tcW w:type="dxa" w:w="3300"/>
          </w:tcPr>
          <w:p>
            <w:r>
              <w:rPr>
                <w:b/>
              </w:rPr>
              <w:t xml:space="preserve">Vendor and service</w:t>
            </w:r>
          </w:p>
        </w:tc>
        <w:tc>
          <w:tcPr>
            <w:tcW w:type="dxa" w:w="7500"/>
          </w:tcPr>
          <w:p/>
        </w:tc>
      </w:tr>
      <w:tr>
        <w:tc>
          <w:tcPr>
            <w:tcW w:type="dxa" w:w="3300"/>
          </w:tcPr>
          <w:p>
            <w:r>
              <w:rPr>
                <w:b/>
              </w:rPr>
              <w:t xml:space="preserve">Sponsor (name and role)</w:t>
            </w:r>
          </w:p>
        </w:tc>
        <w:tc>
          <w:tcPr>
            <w:tcW w:type="dxa" w:w="7500"/>
          </w:tcPr>
          <w:p/>
        </w:tc>
      </w:tr>
      <w:tr>
        <w:tc>
          <w:tcPr>
            <w:tcW w:type="dxa" w:w="3300"/>
          </w:tcPr>
          <w:p>
            <w:r>
              <w:rPr>
                <w:b/>
              </w:rPr>
              <w:t xml:space="preserve">Assessed by</w:t>
            </w:r>
          </w:p>
        </w:tc>
        <w:tc>
          <w:tcPr>
            <w:tcW w:type="dxa" w:w="7500"/>
          </w:tcPr>
          <w:p>
            <w:r>
              <w:rPr>
                <w:highlight w:val="yellow"/>
              </w:rPr>
              <w:t xml:space="preserve">[Name and role; the Information Security Lead performs or approves the assessment]</w:t>
            </w:r>
          </w:p>
        </w:tc>
      </w:tr>
      <w:tr>
        <w:tc>
          <w:tcPr>
            <w:tcW w:type="dxa" w:w="3300"/>
          </w:tcPr>
          <w:p>
            <w:r>
              <w:rPr>
                <w:b/>
              </w:rPr>
              <w:t xml:space="preserve">Assessment date</w:t>
            </w:r>
          </w:p>
        </w:tc>
        <w:tc>
          <w:tcPr>
            <w:tcW w:type="dxa" w:w="7500"/>
          </w:tcPr>
          <w:p>
            <w:r>
              <w:rPr>
                <w:highlight w:val="yellow"/>
              </w:rPr>
              <w:t xml:space="preserve">[Date]</w:t>
            </w:r>
          </w:p>
        </w:tc>
      </w:tr>
      <w:tr>
        <w:tc>
          <w:tcPr>
            <w:tcW w:type="dxa" w:w="3300"/>
          </w:tcPr>
          <w:p>
            <w:r>
              <w:rPr>
                <w:b/>
              </w:rPr>
              <w:t xml:space="preserve">Reason for this assessment</w:t>
            </w:r>
          </w:p>
        </w:tc>
        <w:tc>
          <w:tcPr>
            <w:tcW w:type="dxa" w:w="7500"/>
          </w:tcPr>
          <w:p>
            <w:r>
              <w:rPr>
                <w:highlight w:val="yellow"/>
              </w:rPr>
              <w:t xml:space="preserve">[New vendor / existing service expanding to new data or access / scheduled re-assessment / a re-assessment trigger fired]</w:t>
            </w:r>
          </w:p>
        </w:tc>
      </w:tr>
      <w:tr>
        <w:tc>
          <w:tcPr>
            <w:tcW w:type="dxa" w:w="3300"/>
          </w:tcPr>
          <w:p>
            <w:r>
              <w:rPr>
                <w:b/>
              </w:rPr>
              <w:t xml:space="preserve">For a re-assessment: what changed</w:t>
            </w:r>
          </w:p>
        </w:tc>
        <w:tc>
          <w:tcPr>
            <w:tcW w:type="dxa" w:w="7500"/>
          </w:tcPr>
          <w:p>
            <w:r>
              <w:rPr>
                <w:highlight w:val="yellow"/>
              </w:rPr>
              <w:t xml:space="preserve">[The trigger or the change; see the triggers in Section 8.0]</w:t>
            </w:r>
          </w:p>
        </w:tc>
      </w:tr>
    </w:tbl>
    <w:p/>
    <w:p>
      <w:pPr>
        <w:pStyle w:val="Heading1"/>
      </w:pPr>
      <w:r>
        <w:t xml:space="preserve">2.0 Risk Tier</w:t>
      </w:r>
    </w:p>
    <w:p>
      <w:r>
        <w:t xml:space="preserve">Mark every criterion that applies, then apply the two rules below the table. For a new vendor the tier is provisional: this assessment confirms or corrects it.</w:t>
      </w:r>
    </w:p>
    <w:tbl>
      <w:tblPr>
        <w:tblStyle w:val="TableGrid"/>
        <w:tblW w:type="auto" w:w="0"/>
        <w:tblLook w:firstColumn="1" w:firstRow="1" w:lastColumn="0" w:lastRow="0" w:noHBand="0" w:noVBand="1" w:val="04A0"/>
      </w:tblPr>
      <w:tblGrid>
        <w:gridCol w:w="1100"/>
        <w:gridCol w:w="8300"/>
        <w:gridCol w:w="1400"/>
      </w:tblGrid>
      <w:tr>
        <w:tc>
          <w:tcPr>
            <w:tcW w:type="dxa" w:w="1100"/>
          </w:tcPr>
          <w:p>
            <w:r>
              <w:rPr>
                <w:b/>
              </w:rPr>
              <w:t xml:space="preserve">Tier</w:t>
            </w:r>
          </w:p>
        </w:tc>
        <w:tc>
          <w:tcPr>
            <w:tcW w:type="dxa" w:w="8300"/>
          </w:tcPr>
          <w:p>
            <w:r>
              <w:rPr>
                <w:b/>
              </w:rPr>
              <w:t xml:space="preserve">Criteria</w:t>
            </w:r>
          </w:p>
        </w:tc>
        <w:tc>
          <w:tcPr>
            <w:tcW w:type="dxa" w:w="1400"/>
          </w:tcPr>
          <w:p>
            <w:r>
              <w:rPr>
                <w:b/>
              </w:rPr>
              <w:t xml:space="preserve">Applies?</w:t>
            </w:r>
          </w:p>
        </w:tc>
      </w:tr>
      <w:tr>
        <w:tc>
          <w:tcPr>
            <w:tcW w:type="dxa" w:w="1100"/>
          </w:tcPr>
          <w:p>
            <w:r>
              <w:t xml:space="preserve">High</w:t>
            </w:r>
          </w:p>
        </w:tc>
        <w:tc>
          <w:tcPr>
            <w:tcW w:type="dxa" w:w="8300"/>
          </w:tcPr>
          <w:p>
            <w:r>
              <w:t xml:space="preserve">Stores or processes Confidential information (a Data Handling Policy classification that includes personal information; incidental business contact details do not qualify, but a compiled contact list can).</w:t>
            </w:r>
          </w:p>
        </w:tc>
        <w:tc>
          <w:tcPr>
            <w:tcW w:type="dxa" w:w="1400"/>
          </w:tcPr>
          <w:p/>
        </w:tc>
      </w:tr>
      <w:tr>
        <w:tc>
          <w:tcPr>
            <w:tcW w:type="dxa" w:w="1100"/>
          </w:tcPr>
          <w:p>
            <w:r>
              <w:t xml:space="preserve">High</w:t>
            </w:r>
          </w:p>
        </w:tc>
        <w:tc>
          <w:tcPr>
            <w:tcW w:type="dxa" w:w="8300"/>
          </w:tcPr>
          <w:p>
            <w:r>
              <w:t xml:space="preserve">Connects to the organization's systems, or holds the organization's credentials or tokens (standing secrets that grant access to its systems or data).</w:t>
            </w:r>
          </w:p>
        </w:tc>
        <w:tc>
          <w:tcPr>
            <w:tcW w:type="dxa" w:w="1400"/>
          </w:tcPr>
          <w:p/>
        </w:tc>
      </w:tr>
      <w:tr>
        <w:tc>
          <w:tcPr>
            <w:tcW w:type="dxa" w:w="1100"/>
          </w:tcPr>
          <w:p>
            <w:r>
              <w:t xml:space="preserve">High</w:t>
            </w:r>
          </w:p>
        </w:tc>
        <w:tc>
          <w:tcPr>
            <w:tcW w:type="dxa" w:w="8300"/>
          </w:tcPr>
          <w:p>
            <w:r>
              <w:t xml:space="preserve">Provides a service whose loss would stop or seriously disrupt the business.</w:t>
            </w:r>
          </w:p>
        </w:tc>
        <w:tc>
          <w:tcPr>
            <w:tcW w:type="dxa" w:w="1400"/>
          </w:tcPr>
          <w:p/>
        </w:tc>
      </w:tr>
      <w:tr>
        <w:tc>
          <w:tcPr>
            <w:tcW w:type="dxa" w:w="1100"/>
          </w:tcPr>
          <w:p>
            <w:r>
              <w:t xml:space="preserve">Medium</w:t>
            </w:r>
          </w:p>
        </w:tc>
        <w:tc>
          <w:tcPr>
            <w:tcW w:type="dxa" w:w="8300"/>
          </w:tcPr>
          <w:p>
            <w:r>
              <w:t xml:space="preserve">Meets no High criterion, and handles only Internal information or provides an important but replaceable service.</w:t>
            </w:r>
          </w:p>
        </w:tc>
        <w:tc>
          <w:tcPr>
            <w:tcW w:type="dxa" w:w="1400"/>
          </w:tcPr>
          <w:p/>
        </w:tc>
      </w:tr>
      <w:tr>
        <w:tc>
          <w:tcPr>
            <w:tcW w:type="dxa" w:w="1100"/>
          </w:tcPr>
          <w:p>
            <w:r>
              <w:t xml:space="preserve">Low</w:t>
            </w:r>
          </w:p>
        </w:tc>
        <w:tc>
          <w:tcPr>
            <w:tcW w:type="dxa" w:w="8300"/>
          </w:tcPr>
          <w:p>
            <w:r>
              <w:t xml:space="preserve">Holds no organization information beyond business contact details and information classified Public, and has no connection to the organization's systems.</w:t>
            </w:r>
          </w:p>
        </w:tc>
        <w:tc>
          <w:tcPr>
            <w:tcW w:type="dxa" w:w="1400"/>
          </w:tcPr>
          <w:p/>
        </w:tc>
      </w:tr>
    </w:tbl>
    <w:p/>
    <w:p>
      <w:pPr>
        <w:pStyle w:val="ListBullet"/>
      </w:pPr>
      <w:r>
        <w:t xml:space="preserve">A vendor that meets any High criterion is High, whatever else describes it; Medium applies only where no High criterion is met. When in doubt between two tiers, choose the higher.</w:t>
      </w:r>
    </w:p>
    <w:p>
      <w:pPr>
        <w:pStyle w:val="ListBullet"/>
      </w:pPr>
      <w:r>
        <w:t xml:space="preserve">A pure utility (power, internet connectivity) that holds no organization information is planned for under business continuity instead; this checklist does not apply to it.</w:t>
      </w:r>
    </w:p>
    <w:tbl>
      <w:tblPr>
        <w:tblStyle w:val="TableGrid"/>
        <w:tblW w:type="auto" w:w="0"/>
        <w:tblLook w:firstColumn="1" w:firstRow="1" w:lastColumn="0" w:lastRow="0" w:noHBand="0" w:noVBand="1" w:val="04A0"/>
      </w:tblPr>
      <w:tblGrid>
        <w:gridCol w:w="3300"/>
        <w:gridCol w:w="7500"/>
      </w:tblGrid>
      <w:tr>
        <w:tc>
          <w:tcPr>
            <w:tcW w:type="dxa" w:w="3300"/>
          </w:tcPr>
          <w:p>
            <w:r>
              <w:rPr>
                <w:b/>
              </w:rPr>
              <w:t xml:space="preserve">Tier assigned, and why</w:t>
            </w:r>
          </w:p>
        </w:tc>
        <w:tc>
          <w:tcPr>
            <w:tcW w:type="dxa" w:w="7500"/>
          </w:tcPr>
          <w:p/>
        </w:tc>
      </w:tr>
    </w:tbl>
    <w:p/>
    <w:p>
      <w:pPr>
        <w:pStyle w:val="Heading1"/>
      </w:pPr>
      <w:r>
        <w:t xml:space="preserve">3.0 The Low-Tier Assessment</w:t>
      </w:r>
    </w:p>
    <w:p>
      <w:r>
        <w:t xml:space="preserve">A Low-tier assessment confirms the scope really is that narrow. Confirm both rows; where either fails, the tier is wrong: return to Section 2.0 and re-tier.</w:t>
      </w:r>
    </w:p>
    <w:tbl>
      <w:tblPr>
        <w:tblStyle w:val="TableGrid"/>
        <w:tblW w:type="auto" w:w="0"/>
        <w:tblLook w:firstColumn="1" w:firstRow="1" w:lastColumn="0" w:lastRow="0" w:noHBand="0" w:noVBand="1" w:val="04A0"/>
      </w:tblPr>
      <w:tblGrid>
        <w:gridCol w:w="7600"/>
        <w:gridCol w:w="3200"/>
      </w:tblGrid>
      <w:tr>
        <w:tc>
          <w:tcPr>
            <w:tcW w:type="dxa" w:w="7600"/>
          </w:tcPr>
          <w:p>
            <w:r>
              <w:rPr>
                <w:b/>
              </w:rPr>
              <w:t xml:space="preserve">Confirm</w:t>
            </w:r>
          </w:p>
        </w:tc>
        <w:tc>
          <w:tcPr>
            <w:tcW w:type="dxa" w:w="3200"/>
          </w:tcPr>
          <w:p>
            <w:r>
              <w:rPr>
                <w:b/>
              </w:rPr>
              <w:t xml:space="preserve">Confirmed (how, and by whom)</w:t>
            </w:r>
          </w:p>
        </w:tc>
      </w:tr>
      <w:tr>
        <w:tc>
          <w:tcPr>
            <w:tcW w:type="dxa" w:w="7600"/>
          </w:tcPr>
          <w:p>
            <w:r>
              <w:t xml:space="preserve">The vendor holds nothing beyond business contact details and information classified Public.</w:t>
            </w:r>
          </w:p>
        </w:tc>
        <w:tc>
          <w:tcPr>
            <w:tcW w:type="dxa" w:w="3200"/>
          </w:tcPr>
          <w:p/>
        </w:tc>
      </w:tr>
      <w:tr>
        <w:tc>
          <w:tcPr>
            <w:tcW w:type="dxa" w:w="7600"/>
          </w:tcPr>
          <w:p>
            <w:r>
              <w:t xml:space="preserve">The vendor has no connection to the organization's systems.</w:t>
            </w:r>
          </w:p>
        </w:tc>
        <w:tc>
          <w:tcPr>
            <w:tcW w:type="dxa" w:w="3200"/>
          </w:tcPr>
          <w:p/>
        </w:tc>
      </w:tr>
    </w:tbl>
    <w:p/>
    <w:p>
      <w:r>
        <w:t xml:space="preserve">Both confirmed: complete the rows of Section 5.0 that apply, then record the outcome in Section 8.0. Section 4.0 is for Medium and High tiers, Section 6.0 for High tier, and Section 7.0 for any gap a check finds.</w:t>
      </w:r>
    </w:p>
    <w:p>
      <w:pPr>
        <w:pStyle w:val="Heading1"/>
      </w:pPr>
      <w:r>
        <w:t xml:space="preserve">4.0 Security Review (Medium and High Tiers)</w:t>
      </w:r>
    </w:p>
    <w:p>
      <w:r>
        <w:t xml:space="preserve">A Medium-tier assessment completes the two rows marked Medium and High; a High-tier assessment completes every row that applies. Record where the evidence lives (a saved report, a link, a completed questionnaire), and carry anything the vendor cannot provide to Section 7.0 as a gap.</w:t>
      </w:r>
    </w:p>
    <w:p>
      <w:r>
        <w:t xml:space="preserve">Much of this evidence is self-service: vendors publish security documentation, subprocessor lists, and status pages on a trust or security page, and a standard-terms SaaS vendor often provides nothing beyond that published set and its independent assurance, since many vendors will not complete a customer's questionnaire. Where independent assurance exists, review it first: an auditor's attestation is stronger evidence than any questionnaire the vendor completes about itself.</w:t>
      </w:r>
    </w:p>
    <w:tbl>
      <w:tblPr>
        <w:tblStyle w:val="TableGrid"/>
        <w:tblW w:type="auto" w:w="0"/>
        <w:tblLook w:firstColumn="1" w:firstRow="1" w:lastColumn="0" w:lastRow="0" w:noHBand="0" w:noVBand="1" w:val="04A0"/>
      </w:tblPr>
      <w:tblGrid>
        <w:gridCol w:w="6600"/>
        <w:gridCol w:w="1400"/>
        <w:gridCol w:w="2800"/>
      </w:tblGrid>
      <w:tr>
        <w:tc>
          <w:tcPr>
            <w:tcW w:type="dxa" w:w="6600"/>
          </w:tcPr>
          <w:p>
            <w:r>
              <w:rPr>
                <w:b/>
              </w:rPr>
              <w:t xml:space="preserve">Review</w:t>
            </w:r>
          </w:p>
        </w:tc>
        <w:tc>
          <w:tcPr>
            <w:tcW w:type="dxa" w:w="1400"/>
          </w:tcPr>
          <w:p>
            <w:r>
              <w:rPr>
                <w:b/>
              </w:rPr>
              <w:t xml:space="preserve">Tier</w:t>
            </w:r>
          </w:p>
        </w:tc>
        <w:tc>
          <w:tcPr>
            <w:tcW w:type="dxa" w:w="2800"/>
          </w:tcPr>
          <w:p>
            <w:r>
              <w:rPr>
                <w:b/>
              </w:rPr>
              <w:t xml:space="preserve">Findings and evidence</w:t>
            </w:r>
          </w:p>
        </w:tc>
      </w:tr>
      <w:tr>
        <w:tc>
          <w:tcPr>
            <w:tcW w:type="dxa" w:w="6600"/>
          </w:tcPr>
          <w:p>
            <w:r>
              <w:t xml:space="preserve">The vendor's security documentation.</w:t>
            </w:r>
          </w:p>
        </w:tc>
        <w:tc>
          <w:tcPr>
            <w:tcW w:type="dxa" w:w="1400"/>
          </w:tcPr>
          <w:p>
            <w:r>
              <w:t xml:space="preserve">Medium and High</w:t>
            </w:r>
          </w:p>
        </w:tc>
        <w:tc>
          <w:tcPr>
            <w:tcW w:type="dxa" w:w="2800"/>
          </w:tcPr>
          <w:p/>
        </w:tc>
      </w:tr>
      <w:tr>
        <w:tc>
          <w:tcPr>
            <w:tcW w:type="dxa" w:w="6600"/>
          </w:tcPr>
          <w:p>
            <w:r>
              <w:t xml:space="preserve">The specific questions this service raises (list them and the answers). Where the vendor's published material does not answer them, send them to the vendor; the Vendor Security Questionnaire template is a starting set.</w:t>
            </w:r>
          </w:p>
        </w:tc>
        <w:tc>
          <w:tcPr>
            <w:tcW w:type="dxa" w:w="1400"/>
          </w:tcPr>
          <w:p>
            <w:r>
              <w:t xml:space="preserve">Medium and High</w:t>
            </w:r>
          </w:p>
        </w:tc>
        <w:tc>
          <w:tcPr>
            <w:tcW w:type="dxa" w:w="2800"/>
          </w:tcPr>
          <w:p/>
        </w:tc>
      </w:tr>
      <w:tr>
        <w:tc>
          <w:tcPr>
            <w:tcW w:type="dxa" w:w="6600"/>
          </w:tcPr>
          <w:p>
            <w:r>
              <w:t xml:space="preserve">Independent assurance where the vendor offers it, such as an independent auditor's report on the vendor's security controls (a current SOC 2 report) or an ISO/IEC 27001 certificate. Record the type, the period or scope, and anything qualified; where the vendor offers none, that absence is a gap for Section 7.0.</w:t>
            </w:r>
          </w:p>
        </w:tc>
        <w:tc>
          <w:tcPr>
            <w:tcW w:type="dxa" w:w="1400"/>
          </w:tcPr>
          <w:p>
            <w:r>
              <w:t xml:space="preserve">High</w:t>
            </w:r>
          </w:p>
        </w:tc>
        <w:tc>
          <w:tcPr>
            <w:tcW w:type="dxa" w:w="2800"/>
          </w:tcPr>
          <w:p/>
        </w:tc>
      </w:tr>
      <w:tr>
        <w:tc>
          <w:tcPr>
            <w:tcW w:type="dxa" w:w="6600"/>
          </w:tcPr>
          <w:p>
            <w:r>
              <w:t xml:space="preserve">The vendor's breach and incident history.</w:t>
            </w:r>
          </w:p>
        </w:tc>
        <w:tc>
          <w:tcPr>
            <w:tcW w:type="dxa" w:w="1400"/>
          </w:tcPr>
          <w:p>
            <w:r>
              <w:t xml:space="preserve">High</w:t>
            </w:r>
          </w:p>
        </w:tc>
        <w:tc>
          <w:tcPr>
            <w:tcW w:type="dxa" w:w="2800"/>
          </w:tcPr>
          <w:p/>
        </w:tc>
      </w:tr>
      <w:tr>
        <w:tc>
          <w:tcPr>
            <w:tcW w:type="dxa" w:w="6600"/>
          </w:tcPr>
          <w:p>
            <w:r>
              <w:t xml:space="preserve">Where the organization's data will be stored and processed.</w:t>
            </w:r>
          </w:p>
        </w:tc>
        <w:tc>
          <w:tcPr>
            <w:tcW w:type="dxa" w:w="1400"/>
          </w:tcPr>
          <w:p>
            <w:r>
              <w:t xml:space="preserve">High</w:t>
            </w:r>
          </w:p>
        </w:tc>
        <w:tc>
          <w:tcPr>
            <w:tcW w:type="dxa" w:w="2800"/>
          </w:tcPr>
          <w:p/>
        </w:tc>
      </w:tr>
      <w:tr>
        <w:tc>
          <w:tcPr>
            <w:tcW w:type="dxa" w:w="6600"/>
          </w:tcPr>
          <w:p>
            <w:r>
              <w:t xml:space="preserve">The subprocessors that will touch the organization's data (subprocessors are the vendor's own vendors that handle that data), and how the vendor manages its own suppliers. The vendor's own suppliers (fourth parties) are not assessed directly.</w:t>
            </w:r>
          </w:p>
        </w:tc>
        <w:tc>
          <w:tcPr>
            <w:tcW w:type="dxa" w:w="1400"/>
          </w:tcPr>
          <w:p>
            <w:r>
              <w:t xml:space="preserve">High</w:t>
            </w:r>
          </w:p>
        </w:tc>
        <w:tc>
          <w:tcPr>
            <w:tcW w:type="dxa" w:w="2800"/>
          </w:tcPr>
          <w:p/>
        </w:tc>
      </w:tr>
      <w:tr>
        <w:tc>
          <w:tcPr>
            <w:tcW w:type="dxa" w:w="6600"/>
          </w:tcPr>
          <w:p>
            <w:r>
              <w:t xml:space="preserve">For supplied software the organization runs: how the vendor secures its releases and updates.</w:t>
            </w:r>
          </w:p>
        </w:tc>
        <w:tc>
          <w:tcPr>
            <w:tcW w:type="dxa" w:w="1400"/>
          </w:tcPr>
          <w:p>
            <w:r>
              <w:t xml:space="preserve">High</w:t>
            </w:r>
          </w:p>
        </w:tc>
        <w:tc>
          <w:tcPr>
            <w:tcW w:type="dxa" w:w="2800"/>
          </w:tcPr>
          <w:p/>
        </w:tc>
      </w:tr>
      <w:tr>
        <w:tc>
          <w:tcPr>
            <w:tcW w:type="dxa" w:w="6600"/>
          </w:tcPr>
          <w:p>
            <w:r>
              <w:t xml:space="preserve">Where loss of the service would stop or seriously disrupt the business: the vendor's continuity arrangements, and the organization's exit options if the vendor fails.</w:t>
            </w:r>
          </w:p>
        </w:tc>
        <w:tc>
          <w:tcPr>
            <w:tcW w:type="dxa" w:w="1400"/>
          </w:tcPr>
          <w:p>
            <w:r>
              <w:t xml:space="preserve">High</w:t>
            </w:r>
          </w:p>
        </w:tc>
        <w:tc>
          <w:tcPr>
            <w:tcW w:type="dxa" w:w="2800"/>
          </w:tcPr>
          <w:p/>
        </w:tc>
      </w:tr>
    </w:tbl>
    <w:p/>
    <w:p>
      <w:pPr>
        <w:pStyle w:val="Heading1"/>
      </w:pPr>
      <w:r>
        <w:t xml:space="preserve">5.0 Checks for Every Tier</w:t>
      </w:r>
    </w:p>
    <w:p>
      <w:r>
        <w:t xml:space="preserve">Complete each row that applies, whatever the tier.</w:t>
      </w:r>
    </w:p>
    <w:tbl>
      <w:tblPr>
        <w:tblStyle w:val="TableGrid"/>
        <w:tblW w:type="auto" w:w="0"/>
        <w:tblLook w:firstColumn="1" w:firstRow="1" w:lastColumn="0" w:lastRow="0" w:noHBand="0" w:noVBand="1" w:val="04A0"/>
      </w:tblPr>
      <w:tblGrid>
        <w:gridCol w:w="7800"/>
        <w:gridCol w:w="3000"/>
      </w:tblGrid>
      <w:tr>
        <w:tc>
          <w:tcPr>
            <w:tcW w:type="dxa" w:w="7800"/>
          </w:tcPr>
          <w:p>
            <w:r>
              <w:rPr>
                <w:b/>
              </w:rPr>
              <w:t xml:space="preserve">Check</w:t>
            </w:r>
          </w:p>
        </w:tc>
        <w:tc>
          <w:tcPr>
            <w:tcW w:type="dxa" w:w="3000"/>
          </w:tcPr>
          <w:p>
            <w:r>
              <w:rPr>
                <w:b/>
              </w:rPr>
              <w:t xml:space="preserve">Outcome</w:t>
            </w:r>
          </w:p>
        </w:tc>
      </w:tr>
      <w:tr>
        <w:tc>
          <w:tcPr>
            <w:tcW w:type="dxa" w:w="7800"/>
          </w:tcPr>
          <w:p>
            <w:r>
              <w:t xml:space="preserve">AI training use: where the service uses the organization's information to train or improve its models, confirm whether the terms allow that use at all, and whether it can be turned off. Where it can be turned off, it is turned off before the service handles the organization's information. A service that trains on Confidential information and offers no opt-out is not approved for that information.</w:t>
            </w:r>
          </w:p>
        </w:tc>
        <w:tc>
          <w:tcPr>
            <w:tcW w:type="dxa" w:w="3000"/>
          </w:tcPr>
          <w:p/>
        </w:tc>
      </w:tr>
      <w:tr>
        <w:tc>
          <w:tcPr>
            <w:tcW w:type="dxa" w:w="7800"/>
          </w:tcPr>
          <w:p>
            <w:r>
              <w:t xml:space="preserve">Personal information: where the vendor will handle it, confirm the contract includes the terms the applicable privacy laws require. Where those requirements are unclear, take legal advice.</w:t>
            </w:r>
          </w:p>
        </w:tc>
        <w:tc>
          <w:tcPr>
            <w:tcW w:type="dxa" w:w="3000"/>
          </w:tcPr>
          <w:p/>
        </w:tc>
      </w:tr>
      <w:tr>
        <w:tc>
          <w:tcPr>
            <w:tcW w:type="dxa" w:w="7800"/>
          </w:tcPr>
          <w:p>
            <w:r>
              <w:t xml:space="preserve">Regulated data: where the service will handle data a specific regime covers, confirm the vendor offers the matching attestation or agreement: a current attestation of compliance (AOC) under the payment card industry's data security standard (PCI DSS) for payment card data, or a business associate agreement (BAA: the contract US health privacy law requires) for US health records. Where none is offered, record the gap in Section 7.0.</w:t>
            </w:r>
          </w:p>
        </w:tc>
        <w:tc>
          <w:tcPr>
            <w:tcW w:type="dxa" w:w="3000"/>
          </w:tcPr>
          <w:p/>
        </w:tc>
      </w:tr>
      <w:tr>
        <w:tc>
          <w:tcPr>
            <w:tcW w:type="dxa" w:w="7800"/>
          </w:tcPr>
          <w:p>
            <w:r>
              <w:t xml:space="preserve">Cloud exit plan: for a cloud or SaaS service (software used over the internet), record before use how the organization's data comes out, and in what format.</w:t>
            </w:r>
          </w:p>
        </w:tc>
        <w:tc>
          <w:tcPr>
            <w:tcW w:type="dxa" w:w="3000"/>
          </w:tcPr>
          <w:p/>
        </w:tc>
      </w:tr>
      <w:tr>
        <w:tc>
          <w:tcPr>
            <w:tcW w:type="dxa" w:w="7800"/>
          </w:tcPr>
          <w:p>
            <w:r>
              <w:t xml:space="preserve">Service security features: record whether the service supports multi-factor authentication (MFA) for the organization's accounts, and on which plan or setting; single sign-on through the organization's identity provider (the sign-in system), where it has one; and an audit log at the organization's plan. Turning these on where offered is part of adopting the service, as the Access Control Policy and the Logging and Monitoring Policy require; where MFA is unsupported, record the gap in Section 7.0.</w:t>
            </w:r>
          </w:p>
        </w:tc>
        <w:tc>
          <w:tcPr>
            <w:tcW w:type="dxa" w:w="3000"/>
          </w:tcPr>
          <w:p/>
        </w:tc>
      </w:tr>
      <w:tr>
        <w:tc>
          <w:tcPr>
            <w:tcW w:type="dxa" w:w="7800"/>
          </w:tcPr>
          <w:p>
            <w:r>
              <w:t xml:space="preserve">Confidentiality and further terms: for a Medium- or Low-tier vendor, decide whether a confidentiality agreement alone is enough, or which of Section 6.0's terms the service calls for.</w:t>
            </w:r>
          </w:p>
        </w:tc>
        <w:tc>
          <w:tcPr>
            <w:tcW w:type="dxa" w:w="3000"/>
          </w:tcPr>
          <w:p/>
        </w:tc>
      </w:tr>
    </w:tbl>
    <w:p/>
    <w:p>
      <w:pPr>
        <w:pStyle w:val="Heading1"/>
      </w:pPr>
      <w:r>
        <w:t xml:space="preserve">6.0 Contract Terms (High Tier)</w:t>
      </w:r>
    </w:p>
    <w:p>
      <w:r>
        <w:t xml:space="preserve">Handling Confidential information makes a vendor High tier, and every High-tier agreement is checked against the terms below, whatever its form. Where a standard-terms service will not negotiate (most SaaS), evaluate the standard terms as they are, and record each term the service does not meet as a gap in Section 7.0, with compensating controls where available.</w:t>
      </w:r>
    </w:p>
    <w:tbl>
      <w:tblPr>
        <w:tblStyle w:val="TableGrid"/>
        <w:tblW w:type="auto" w:w="0"/>
        <w:tblLook w:firstColumn="1" w:firstRow="1" w:lastColumn="0" w:lastRow="0" w:noHBand="0" w:noVBand="1" w:val="04A0"/>
      </w:tblPr>
      <w:tblGrid>
        <w:gridCol w:w="8600"/>
        <w:gridCol w:w="2200"/>
      </w:tblGrid>
      <w:tr>
        <w:tc>
          <w:tcPr>
            <w:tcW w:type="dxa" w:w="8600"/>
          </w:tcPr>
          <w:p>
            <w:r>
              <w:rPr>
                <w:b/>
              </w:rPr>
              <w:t xml:space="preserve">Term</w:t>
            </w:r>
          </w:p>
        </w:tc>
        <w:tc>
          <w:tcPr>
            <w:tcW w:type="dxa" w:w="2200"/>
          </w:tcPr>
          <w:p>
            <w:r>
              <w:rPr>
                <w:b/>
              </w:rPr>
              <w:t xml:space="preserve">Met, or a gap?</w:t>
            </w:r>
          </w:p>
        </w:tc>
      </w:tr>
      <w:tr>
        <w:tc>
          <w:tcPr>
            <w:tcW w:type="dxa" w:w="8600"/>
          </w:tcPr>
          <w:p>
            <w:r>
              <w:t xml:space="preserve">Security requirements suited to the service.</w:t>
            </w:r>
          </w:p>
        </w:tc>
        <w:tc>
          <w:tcPr>
            <w:tcW w:type="dxa" w:w="2200"/>
          </w:tcPr>
          <w:p/>
        </w:tc>
      </w:tr>
      <w:tr>
        <w:tc>
          <w:tcPr>
            <w:tcW w:type="dxa" w:w="8600"/>
          </w:tcPr>
          <w:p>
            <w:r>
              <w:t xml:space="preserve">Availability commitments, where the business depends on the service.</w:t>
            </w:r>
          </w:p>
        </w:tc>
        <w:tc>
          <w:tcPr>
            <w:tcW w:type="dxa" w:w="2200"/>
          </w:tcPr>
          <w:p/>
        </w:tc>
      </w:tr>
      <w:tr>
        <w:tc>
          <w:tcPr>
            <w:tcW w:type="dxa" w:w="8600"/>
          </w:tcPr>
          <w:p>
            <w:r>
              <w:t xml:space="preserve">Incident notification: the vendor tells the organization's designated contact about any incident affecting, or reasonably likely to affect, the organization's information or the service. Notice comes without undue delay, within </w:t>
            </w:r>
            <w:r>
              <w:rPr>
                <w:highlight w:val="yellow"/>
              </w:rPr>
              <w:t xml:space="preserve">[48 hours]</w:t>
            </w:r>
            <w:r>
              <w:t xml:space="preserve"> of the vendor first becoming aware of one or reasonably suspecting one, and without waiting for its investigation to finish.</w:t>
            </w:r>
          </w:p>
        </w:tc>
        <w:tc>
          <w:tcPr>
            <w:tcW w:type="dxa" w:w="2200"/>
          </w:tcPr>
          <w:p/>
        </w:tc>
      </w:tr>
      <w:tr>
        <w:tc>
          <w:tcPr>
            <w:tcW w:type="dxa" w:w="8600"/>
          </w:tcPr>
          <w:p>
            <w:r>
              <w:t xml:space="preserve">Cooperation in the organization's response.</w:t>
            </w:r>
          </w:p>
        </w:tc>
        <w:tc>
          <w:tcPr>
            <w:tcW w:type="dxa" w:w="2200"/>
          </w:tcPr>
          <w:p/>
        </w:tc>
      </w:tr>
      <w:tr>
        <w:tc>
          <w:tcPr>
            <w:tcW w:type="dxa" w:w="8600"/>
          </w:tcPr>
          <w:p>
            <w:r>
              <w:t xml:space="preserve">Return or destruction of the organization's information at exit, with written confirmation, except where law requires the vendor to retain it.</w:t>
            </w:r>
          </w:p>
        </w:tc>
        <w:tc>
          <w:tcPr>
            <w:tcW w:type="dxa" w:w="2200"/>
          </w:tcPr>
          <w:p/>
        </w:tc>
      </w:tr>
      <w:tr>
        <w:tc>
          <w:tcPr>
            <w:tcW w:type="dxa" w:w="8600"/>
          </w:tcPr>
          <w:p>
            <w:r>
              <w:t xml:space="preserve">Confidentiality obligations that survive the contract's end.</w:t>
            </w:r>
          </w:p>
        </w:tc>
        <w:tc>
          <w:tcPr>
            <w:tcW w:type="dxa" w:w="2200"/>
          </w:tcPr>
          <w:p/>
        </w:tc>
      </w:tr>
      <w:tr>
        <w:tc>
          <w:tcPr>
            <w:tcW w:type="dxa" w:w="8600"/>
          </w:tcPr>
          <w:p>
            <w:r>
              <w:t xml:space="preserve">Disclosure of the subprocessors that touch the organization's information, notice when they change, equivalent security duties imposed on them, and the vendor remaining responsible to the organization for their performance.</w:t>
            </w:r>
          </w:p>
        </w:tc>
        <w:tc>
          <w:tcPr>
            <w:tcW w:type="dxa" w:w="2200"/>
          </w:tcPr>
          <w:p/>
        </w:tc>
      </w:tr>
      <w:tr>
        <w:tc>
          <w:tcPr>
            <w:tcW w:type="dxa" w:w="8600"/>
          </w:tcPr>
          <w:p>
            <w:r>
              <w:t xml:space="preserve">Notice when vendor personnel with access to the organization's systems or information leave the vendor or that role (for a service dedicated to the organization; this term does not apply to multi-tenant services).</w:t>
            </w:r>
          </w:p>
        </w:tc>
        <w:tc>
          <w:tcPr>
            <w:tcW w:type="dxa" w:w="2200"/>
          </w:tcPr>
          <w:p/>
        </w:tc>
      </w:tr>
      <w:tr>
        <w:tc>
          <w:tcPr>
            <w:tcW w:type="dxa" w:w="8600"/>
          </w:tcPr>
          <w:p>
            <w:r>
              <w:t xml:space="preserve">Notice before the organization's information is stored or processed in a new country.</w:t>
            </w:r>
          </w:p>
        </w:tc>
        <w:tc>
          <w:tcPr>
            <w:tcW w:type="dxa" w:w="2200"/>
          </w:tcPr>
          <w:p/>
        </w:tc>
      </w:tr>
      <w:tr>
        <w:tc>
          <w:tcPr>
            <w:tcW w:type="dxa" w:w="8600"/>
          </w:tcPr>
          <w:p>
            <w:r>
              <w:t xml:space="preserve">Current security assurance (a report, certificate, or summary of testing) on request, no more than </w:t>
            </w:r>
            <w:r>
              <w:rPr>
                <w:highlight w:val="yellow"/>
              </w:rPr>
              <w:t xml:space="preserve">[once a year]</w:t>
            </w:r>
            <w:r>
              <w:t xml:space="preserve">, unless an incident gives reason to ask again.</w:t>
            </w:r>
          </w:p>
        </w:tc>
        <w:tc>
          <w:tcPr>
            <w:tcW w:type="dxa" w:w="2200"/>
          </w:tcPr>
          <w:p/>
        </w:tc>
      </w:tr>
      <w:tr>
        <w:tc>
          <w:tcPr>
            <w:tcW w:type="dxa" w:w="8600"/>
          </w:tcPr>
          <w:p>
            <w:r>
              <w:t xml:space="preserve">For software the organization runs: notice of security vulnerabilities affecting the product, and of the end of security support.</w:t>
            </w:r>
          </w:p>
        </w:tc>
        <w:tc>
          <w:tcPr>
            <w:tcW w:type="dxa" w:w="2200"/>
          </w:tcPr>
          <w:p/>
        </w:tc>
      </w:tr>
    </w:tbl>
    <w:p/>
    <w:p>
      <w:r>
        <w:rPr>
          <w:highlight w:val="yellow"/>
        </w:rPr>
        <w:t xml:space="preserve">[Set the incident-notification window above shorter than the shortest notice period the organization itself owes its customers and regulators.]</w:t>
      </w:r>
    </w:p>
    <w:p>
      <w:pPr>
        <w:pStyle w:val="Heading1"/>
      </w:pPr>
      <w:r>
        <w:t xml:space="preserve">7.0 Gaps and Risk Acceptance</w:t>
      </w:r>
    </w:p>
    <w:p>
      <w:r>
        <w:t xml:space="preserve">A gap is evidence the tier calls for that the vendor cannot provide, or a term the service does not meet. Record each one with compensating controls where available, such as reduced data scope, tighter access, or a shorter review interval; the remaining risk is accepted in writing before the vendor is engaged, and every acceptance is revisited at each re-assessment and at least annually. A gap the vendor is expected to close by a set date may instead run through the organization's exception process, with an expiry and a review.</w:t>
      </w:r>
    </w:p>
    <w:p>
      <w:pPr>
        <w:pStyle w:val="ListBullet"/>
      </w:pPr>
      <w:r>
        <w:t xml:space="preserve">The Information Security Lead accepts the remaining risk in writing; Executive Management accepts it where the risk is significant.</w:t>
      </w:r>
    </w:p>
    <w:p>
      <w:pPr>
        <w:pStyle w:val="ListBullet"/>
      </w:pPr>
      <w:r>
        <w:t xml:space="preserve">Accepting away the incident-notification or the return-or-destruction term for a High-tier vendor is always a significant risk, so only Executive Management can accept it.</w:t>
      </w:r>
    </w:p>
    <w:p>
      <w:pPr>
        <w:pStyle w:val="ListBullet"/>
      </w:pPr>
      <w:r>
        <w:t xml:space="preserve">For a vendor that holds regulated data or runs a critical system, the incident-notification and cooperation terms are not accepted away; a service that cannot meet them is not used for that role.</w:t>
      </w:r>
    </w:p>
    <w:p>
      <w:pPr>
        <w:pStyle w:val="ListBullet"/>
      </w:pPr>
      <w:r>
        <w:t xml:space="preserve">A requirement imposed by law, or by the organization's own contracts with its customers, cannot be accepted away: where the service cannot meet it, the service is not used for the information those requirements cover.</w:t>
      </w:r>
    </w:p>
    <w:tbl>
      <w:tblPr>
        <w:tblStyle w:val="TableGrid"/>
        <w:tblW w:type="auto" w:w="0"/>
        <w:tblLook w:firstColumn="1" w:firstRow="1" w:lastColumn="0" w:lastRow="0" w:noHBand="0" w:noVBand="1" w:val="04A0"/>
      </w:tblPr>
      <w:tblGrid>
        <w:gridCol w:w="3600"/>
        <w:gridCol w:w="3200"/>
        <w:gridCol w:w="2400"/>
        <w:gridCol w:w="1600"/>
      </w:tblGrid>
      <w:tr>
        <w:tc>
          <w:tcPr>
            <w:tcW w:type="dxa" w:w="3600"/>
          </w:tcPr>
          <w:p>
            <w:r>
              <w:rPr>
                <w:b/>
              </w:rPr>
              <w:t xml:space="preserve">Gap</w:t>
            </w:r>
          </w:p>
        </w:tc>
        <w:tc>
          <w:tcPr>
            <w:tcW w:type="dxa" w:w="3200"/>
          </w:tcPr>
          <w:p>
            <w:r>
              <w:rPr>
                <w:b/>
              </w:rPr>
              <w:t xml:space="preserve">Compensating controls</w:t>
            </w:r>
          </w:p>
        </w:tc>
        <w:tc>
          <w:tcPr>
            <w:tcW w:type="dxa" w:w="2400"/>
          </w:tcPr>
          <w:p>
            <w:r>
              <w:rPr>
                <w:b/>
              </w:rPr>
              <w:t xml:space="preserve">Risk accepted by (name and date)</w:t>
            </w:r>
          </w:p>
        </w:tc>
        <w:tc>
          <w:tcPr>
            <w:tcW w:type="dxa" w:w="1600"/>
          </w:tcPr>
          <w:p>
            <w:r>
              <w:rPr>
                <w:b/>
              </w:rPr>
              <w:t xml:space="preserve">Review date</w:t>
            </w:r>
          </w:p>
        </w:tc>
      </w:tr>
      <w:tr>
        <w:tc>
          <w:tcPr>
            <w:tcW w:type="dxa" w:w="3600"/>
          </w:tcPr>
          <w:p/>
        </w:tc>
        <w:tc>
          <w:tcPr>
            <w:tcW w:type="dxa" w:w="3200"/>
          </w:tcPr>
          <w:p/>
        </w:tc>
        <w:tc>
          <w:tcPr>
            <w:tcW w:type="dxa" w:w="2400"/>
          </w:tcPr>
          <w:p/>
        </w:tc>
        <w:tc>
          <w:tcPr>
            <w:tcW w:type="dxa" w:w="1600"/>
          </w:tcPr>
          <w:p/>
        </w:tc>
      </w:tr>
      <w:tr>
        <w:tc>
          <w:tcPr>
            <w:tcW w:type="dxa" w:w="3600"/>
          </w:tcPr>
          <w:p/>
        </w:tc>
        <w:tc>
          <w:tcPr>
            <w:tcW w:type="dxa" w:w="3200"/>
          </w:tcPr>
          <w:p/>
        </w:tc>
        <w:tc>
          <w:tcPr>
            <w:tcW w:type="dxa" w:w="2400"/>
          </w:tcPr>
          <w:p/>
        </w:tc>
        <w:tc>
          <w:tcPr>
            <w:tcW w:type="dxa" w:w="1600"/>
          </w:tcPr>
          <w:p/>
        </w:tc>
      </w:tr>
    </w:tbl>
    <w:p/>
    <w:p>
      <w:pPr>
        <w:pStyle w:val="Heading1"/>
      </w:pPr>
      <w:r>
        <w:t xml:space="preserve">8.0 Outcome</w:t>
      </w:r>
    </w:p>
    <w:p>
      <w:r>
        <w:t xml:space="preserve">Record the result here and in the vendor inventory; where no system holds that inventory, this completed checklist is the assessment record the policy asks for. The re-assessment cadence runs from the assessment date, and a trigger re-runs this checklist sooner: a breach or security incident at the vendor, a material change to the service or its terms, growth in the vendor's data or access scope, a change of ownership, or repeated service failure.</w:t>
      </w:r>
    </w:p>
    <w:tbl>
      <w:tblPr>
        <w:tblStyle w:val="TableGrid"/>
        <w:tblW w:type="auto" w:w="0"/>
        <w:tblLook w:firstColumn="1" w:firstRow="1" w:lastColumn="0" w:lastRow="0" w:noHBand="0" w:noVBand="1" w:val="04A0"/>
      </w:tblPr>
      <w:tblGrid>
        <w:gridCol w:w="3300"/>
        <w:gridCol w:w="7500"/>
      </w:tblGrid>
      <w:tr>
        <w:tc>
          <w:tcPr>
            <w:tcW w:type="dxa" w:w="3300"/>
          </w:tcPr>
          <w:p>
            <w:r>
              <w:rPr>
                <w:b/>
              </w:rPr>
              <w:t xml:space="preserve">Decision</w:t>
            </w:r>
          </w:p>
        </w:tc>
        <w:tc>
          <w:tcPr>
            <w:tcW w:type="dxa" w:w="7500"/>
          </w:tcPr>
          <w:p>
            <w:r>
              <w:rPr>
                <w:highlight w:val="yellow"/>
              </w:rPr>
              <w:t xml:space="preserve">[Approved / approved with conditions / not approved]</w:t>
            </w:r>
          </w:p>
        </w:tc>
      </w:tr>
      <w:tr>
        <w:tc>
          <w:tcPr>
            <w:tcW w:type="dxa" w:w="3300"/>
          </w:tcPr>
          <w:p>
            <w:r>
              <w:rPr>
                <w:b/>
              </w:rPr>
              <w:t xml:space="preserve">Conditions, if any</w:t>
            </w:r>
          </w:p>
        </w:tc>
        <w:tc>
          <w:tcPr>
            <w:tcW w:type="dxa" w:w="7500"/>
          </w:tcPr>
          <w:p/>
        </w:tc>
      </w:tr>
      <w:tr>
        <w:tc>
          <w:tcPr>
            <w:tcW w:type="dxa" w:w="3300"/>
          </w:tcPr>
          <w:p>
            <w:r>
              <w:rPr>
                <w:b/>
              </w:rPr>
              <w:t xml:space="preserve">Tier confirmed</w:t>
            </w:r>
          </w:p>
        </w:tc>
        <w:tc>
          <w:tcPr>
            <w:tcW w:type="dxa" w:w="7500"/>
          </w:tcPr>
          <w:p>
            <w:r>
              <w:rPr>
                <w:highlight w:val="yellow"/>
              </w:rPr>
              <w:t xml:space="preserve">[High / Medium / Low; corrected here where the provisional tier was wrong]</w:t>
            </w:r>
          </w:p>
        </w:tc>
      </w:tr>
      <w:tr>
        <w:tc>
          <w:tcPr>
            <w:tcW w:type="dxa" w:w="3300"/>
          </w:tcPr>
          <w:p>
            <w:r>
              <w:rPr>
                <w:b/>
              </w:rPr>
              <w:t xml:space="preserve">Re-assessment due</w:t>
            </w:r>
          </w:p>
        </w:tc>
        <w:tc>
          <w:tcPr>
            <w:tcW w:type="dxa" w:w="7500"/>
          </w:tcPr>
          <w:p>
            <w:r>
              <w:rPr>
                <w:highlight w:val="yellow"/>
              </w:rPr>
              <w:t xml:space="preserve">[Date. Starting cadences: High annually, Medium every two years, Low at contract renewal or every three years where there is no renewal.]</w:t>
            </w:r>
          </w:p>
        </w:tc>
      </w:tr>
      <w:tr>
        <w:tc>
          <w:tcPr>
            <w:tcW w:type="dxa" w:w="3300"/>
          </w:tcPr>
          <w:p>
            <w:r>
              <w:rPr>
                <w:b/>
              </w:rPr>
              <w:t xml:space="preserve">Recorded in</w:t>
            </w:r>
          </w:p>
        </w:tc>
        <w:tc>
          <w:tcPr>
            <w:tcW w:type="dxa" w:w="7500"/>
          </w:tcPr>
          <w:p>
            <w:r>
              <w:rPr>
                <w:highlight w:val="yellow"/>
              </w:rPr>
              <w:t xml:space="preserve">[The vendor inventory or vendor register, with this checklist kept as the assessment record]</w:t>
            </w:r>
          </w:p>
        </w:tc>
      </w:tr>
    </w:tbl>
    <w:p/>
    <w:p>
      <w:r>
        <w:t xml:space="preserve">This checklist is general guidance, not legal advice. It is provided by anoBytes Technology Solutions (anobytes.com) free to adapt for your organization.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Vendor Security Assessment Checklist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1712</Words>
  <Characters>9276</Characters>
  <DocSecurity>0</DocSecurity>
  <Lines>114</Lines>
  <Paragraphs>159</Paragraphs>
  <ScaleCrop>false</ScaleCrop>
  <HeadingPairs>
    <vt:vector size="2" baseType="variant">
      <vt:variant>
        <vt:lpstr>Title</vt:lpstr>
      </vt:variant>
      <vt:variant>
        <vt:i4>1</vt:i4>
      </vt:variant>
    </vt:vector>
  </HeadingPairs>
  <TitlesOfParts>
    <vt:vector size="1" baseType="lpstr">
      <vt:lpstr>Vendor Security Assessment Checklist</vt:lpstr>
    </vt:vector>
  </TitlesOfParts>
  <Manager/>
  <Company>anoBytes Technology Solutions LLC</Company>
  <LinksUpToDate>false</LinksUpToDate>
  <CharactersWithSpaces>10987</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Vendor Security Assessment Checklist</dc:title>
  <dc:subject>Vendor security assessment checklist</dc:subject>
  <dc:creator>Nelson Pereira, anoBytes Technology Solutions LLC</dc:creator>
  <cp:keywords>soc 2, iso 27001 certificate, independent assurance, questionnaire, subprocessors, fourth parties, suppliers, supplier relationship controls, saas, exit plan, ai training, opt-out, compensating controls, exception process, standard terms, incident notification, breach and incident history, re-assessment, cadence, sponsor, provisional, click-through, free tier, gv.sc, supply chain, confidentiality agreement, privacy laws, regulated data, multi-tenant, vendor inventory, trust or security page, self-service, mfa, multi-factor authentication, single sign-on, identity provider, audit log, pci dss, attestation of compliance, business associate agreement, baa</cp:keywords>
  <dc:description>The fill-in companion to our Vendor Risk Management Policy: profile the vendor, set its risk tier, run the review the tier calls for, check the eleven contract terms, and record gaps, risk acceptances, and the outcome. One completed copy is one assessment record. Free to adapt for your organization.</dc:description>
  <cp:lastModifiedBy/>
  <cp:revision>1</cp:revision>
  <dcterms:created xsi:type="dcterms:W3CDTF">2026-08-07T00:00:00Z</dcterms:created>
  <dcterms:modified xsi:type="dcterms:W3CDTF">2026-08-07T00:00:00Z</dcterms:modified>
  <cp:category>Checklist</cp:category>
</cp:coreProperties>
</file>