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xml:space="preserve">Vulnerability Management Policy</w:t>
      </w:r>
    </w:p>
    <w:p>
      <w:r>
        <w:rPr>
          <w:b/>
        </w:rPr>
        <w:t xml:space="preserve">Document Control</w:t>
      </w:r>
    </w:p>
    <w:tbl>
      <w:tblPr>
        <w:tblStyle w:val="TableGrid"/>
        <w:tblW w:type="auto" w:w="0"/>
        <w:tblLook w:firstColumn="1" w:firstRow="1" w:lastColumn="0" w:lastRow="0" w:noHBand="0" w:noVBand="1" w:val="04A0"/>
      </w:tblPr>
      <w:tblGrid>
        <w:gridCol w:w="5400"/>
        <w:gridCol w:w="5400"/>
      </w:tblGrid>
      <w:tr>
        <w:tc>
          <w:tcPr>
            <w:tcW w:type="dxa" w:w="5400"/>
          </w:tcPr>
          <w:p>
            <w:r>
              <w:rPr>
                <w:b/>
              </w:rPr>
              <w:t xml:space="preserve">Document title</w:t>
            </w:r>
          </w:p>
        </w:tc>
        <w:tc>
          <w:tcPr>
            <w:tcW w:type="dxa" w:w="5400"/>
          </w:tcPr>
          <w:p>
            <w:r>
              <w:t xml:space="preserve">Vulnerability Management Policy</w:t>
            </w:r>
          </w:p>
        </w:tc>
      </w:tr>
      <w:tr>
        <w:tc>
          <w:tcPr>
            <w:tcW w:type="dxa" w:w="5400"/>
          </w:tcPr>
          <w:p>
            <w:r>
              <w:rPr>
                <w:b/>
              </w:rPr>
              <w:t xml:space="preserve">Version</w:t>
            </w:r>
          </w:p>
        </w:tc>
        <w:tc>
          <w:tcPr>
            <w:tcW w:type="dxa" w:w="5400"/>
          </w:tcPr>
          <w:p>
            <w:r>
              <w:t xml:space="preserve">1.0</w:t>
            </w:r>
          </w:p>
        </w:tc>
      </w:tr>
      <w:tr>
        <w:tc>
          <w:tcPr>
            <w:tcW w:type="dxa" w:w="5400"/>
          </w:tcPr>
          <w:p>
            <w:r>
              <w:rPr>
                <w:b/>
              </w:rPr>
              <w:t xml:space="preserve">Document owner</w:t>
            </w:r>
          </w:p>
        </w:tc>
        <w:tc>
          <w:tcPr>
            <w:tcW w:type="dxa" w:w="5400"/>
          </w:tcPr>
          <w:p>
            <w:r>
              <w:t xml:space="preserve">Information Security Lead</w:t>
            </w:r>
          </w:p>
        </w:tc>
      </w:tr>
      <w:tr>
        <w:tc>
          <w:tcPr>
            <w:tcW w:type="dxa" w:w="5400"/>
          </w:tcPr>
          <w:p>
            <w:r>
              <w:rPr>
                <w:b/>
              </w:rPr>
              <w:t xml:space="preserve">Approved by</w:t>
            </w:r>
          </w:p>
        </w:tc>
        <w:tc>
          <w:tcPr>
            <w:tcW w:type="dxa" w:w="5400"/>
          </w:tcPr>
          <w:p>
            <w:r>
              <w:rPr>
                <w:highlight w:val="yellow"/>
              </w:rPr>
              <w:t xml:space="preserve">[Name and title, e.g., Chief Executive Officer]</w:t>
            </w:r>
          </w:p>
        </w:tc>
      </w:tr>
      <w:tr>
        <w:tc>
          <w:tcPr>
            <w:tcW w:type="dxa" w:w="5400"/>
          </w:tcPr>
          <w:p>
            <w:r>
              <w:rPr>
                <w:b/>
              </w:rPr>
              <w:t xml:space="preserve">Effective date</w:t>
            </w:r>
          </w:p>
        </w:tc>
        <w:tc>
          <w:tcPr>
            <w:tcW w:type="dxa" w:w="5400"/>
          </w:tcPr>
          <w:p>
            <w:r>
              <w:rPr>
                <w:highlight w:val="yellow"/>
              </w:rPr>
              <w:t xml:space="preserve">[Date]</w:t>
            </w:r>
          </w:p>
        </w:tc>
      </w:tr>
      <w:tr>
        <w:tc>
          <w:tcPr>
            <w:tcW w:type="dxa" w:w="5400"/>
          </w:tcPr>
          <w:p>
            <w:r>
              <w:rPr>
                <w:b/>
              </w:rPr>
              <w:t xml:space="preserve">Next review date</w:t>
            </w:r>
          </w:p>
        </w:tc>
        <w:tc>
          <w:tcPr>
            <w:tcW w:type="dxa" w:w="5400"/>
          </w:tcPr>
          <w:p>
            <w:r>
              <w:rPr>
                <w:highlight w:val="yellow"/>
              </w:rPr>
              <w:t xml:space="preserve">[Date, no later than one year after the effective date]</w:t>
            </w:r>
          </w:p>
        </w:tc>
      </w:tr>
      <w:tr>
        <w:tc>
          <w:tcPr>
            <w:tcW w:type="dxa" w:w="5400"/>
          </w:tcPr>
          <w:p>
            <w:r>
              <w:rPr>
                <w:b/>
              </w:rPr>
              <w:t xml:space="preserve">Classification</w:t>
            </w:r>
          </w:p>
        </w:tc>
        <w:tc>
          <w:tcPr>
            <w:tcW w:type="dxa" w:w="5400"/>
          </w:tcPr>
          <w:p>
            <w:r>
              <w:rPr>
                <w:highlight w:val="yellow"/>
              </w:rPr>
              <w:t xml:space="preserve">[e.g., Internal (shareable with customers and auditors on request)]</w:t>
            </w:r>
          </w:p>
        </w:tc>
      </w:tr>
    </w:tbl>
    <w:p>
      <w:r>
        <w:rPr>
          <w:b/>
        </w:rPr>
        <w:t xml:space="preserve">Revision History</w:t>
      </w:r>
    </w:p>
    <w:tbl>
      <w:tblPr>
        <w:tblStyle w:val="TableGrid"/>
        <w:tblW w:type="auto" w:w="0"/>
        <w:tblLook w:firstColumn="1" w:firstRow="1" w:lastColumn="0" w:lastRow="0" w:noHBand="0" w:noVBand="1" w:val="04A0"/>
      </w:tblPr>
      <w:tblGrid>
        <w:gridCol w:w="1440"/>
        <w:gridCol w:w="2520"/>
        <w:gridCol w:w="6840"/>
      </w:tblGrid>
      <w:tr>
        <w:tc>
          <w:tcPr>
            <w:tcW w:type="dxa" w:w="1440"/>
          </w:tcPr>
          <w:p>
            <w:r>
              <w:rPr>
                <w:b/>
              </w:rPr>
              <w:t xml:space="preserve">Version</w:t>
            </w:r>
          </w:p>
        </w:tc>
        <w:tc>
          <w:tcPr>
            <w:tcW w:type="dxa" w:w="2520"/>
          </w:tcPr>
          <w:p>
            <w:r>
              <w:rPr>
                <w:b/>
              </w:rPr>
              <w:t xml:space="preserve">Date</w:t>
            </w:r>
          </w:p>
        </w:tc>
        <w:tc>
          <w:tcPr>
            <w:tcW w:type="dxa" w:w="6840"/>
          </w:tcPr>
          <w:p>
            <w:r>
              <w:rPr>
                <w:b/>
              </w:rPr>
              <w:t xml:space="preserve">Summary of changes</w:t>
            </w:r>
          </w:p>
        </w:tc>
      </w:tr>
      <w:tr>
        <w:tc>
          <w:tcPr>
            <w:tcW w:type="dxa" w:w="1440"/>
          </w:tcPr>
          <w:p>
            <w:r>
              <w:t xml:space="preserve">1.0</w:t>
            </w:r>
          </w:p>
        </w:tc>
        <w:tc>
          <w:tcPr>
            <w:tcW w:type="dxa" w:w="2520"/>
          </w:tcPr>
          <w:p>
            <w:r>
              <w:rPr>
                <w:highlight w:val="yellow"/>
              </w:rPr>
              <w:t xml:space="preserve">[Date]</w:t>
            </w:r>
          </w:p>
        </w:tc>
        <w:tc>
          <w:tcPr>
            <w:tcW w:type="dxa" w:w="6840"/>
          </w:tcPr>
          <w:p>
            <w:r>
              <w:t xml:space="preserve">Initial version.</w:t>
            </w:r>
          </w:p>
        </w:tc>
      </w:tr>
    </w:tbl>
    <w:p>
      <w:pPr>
        <w:pStyle w:val="Heading1"/>
      </w:pPr>
      <w:r>
        <w:t xml:space="preserve">1.0 Purpose</w:t>
      </w:r>
    </w:p>
    <w:p>
      <w:r>
        <w:t xml:space="preserve">This policy defines how </w:t>
      </w:r>
      <w:r>
        <w:rPr>
          <w:highlight w:val="yellow"/>
        </w:rPr>
        <w:t xml:space="preserve">[Company Name]</w:t>
      </w:r>
      <w:r>
        <w:t xml:space="preserve"> ("the organization") finds and fixes the security weaknesses (vulnerabilities) in its systems before an attacker uses them: what is scanned and when, how a finding is prioritized, and how long each priority may wait for a fix.</w:t>
      </w:r>
    </w:p>
    <w:p>
      <w:r>
        <w:t xml:space="preserve">This policy is a supporting policy of the organization's Information Security Policy, and it defines the timeframes that policy requires for identifying and fixing vulnerabilities. It covers the systems the organization runs or is responsible for patching; Section 2.0 draws the boundaries with the Remote Work &amp; Mobile Device Policy (user devices) and the Vendor Risk Management Policy (software a provider patches). It gives effect to the technical vulnerability management control of ISO/IEC 27001:2022 Annex A and the corresponding outcomes of the NIST Cybersecurity Framework (CSF) 2.0 (see Section 9.0).</w:t>
      </w:r>
    </w:p>
    <w:p>
      <w:pPr>
        <w:pStyle w:val="Heading1"/>
      </w:pPr>
      <w:r>
        <w:t xml:space="preserve">2.0 Scope</w:t>
      </w:r>
    </w:p>
    <w:p>
      <w:r>
        <w:t xml:space="preserve">This policy applies to every system the organization runs or is responsible for patching: servers, virtual machines and cloud infrastructure, network equipment, and the operating systems, firmware, and applications on them, wherever they are hosted. For managed cloud services, the parts the provider leaves to the organization (runtime and engine versions, machine and container images, configuration) are in scope. A vulnerability is a weakness in software or configuration that an attacker could use; an attacker actually using one is a security incident, handled under the Incident Response Policy. User devices (laptops, desktops, phones, tablets) follow the Remote Work &amp; Mobile Device Policy. A provider's own service is the provider's to patch, assessed under the Vendor Risk Management Policy.</w:t>
      </w:r>
    </w:p>
    <w:p>
      <w:pPr>
        <w:pStyle w:val="Heading1"/>
      </w:pPr>
      <w:r>
        <w:t xml:space="preserve">3.0 Policy Statements</w:t>
      </w:r>
    </w:p>
    <w:p>
      <w:r>
        <w:t>Throughout this policy, a statement of what the organization or its people do ("is encrypted", "are recorded") is a requirement, as are "must", "shall", and direct instructions such as "use only" or "never". The words "may" and "is acceptable" mark a permission. Where a requirement needs a planned deviation, Section 6.0 describes how to request an exception. Text in square brackets marks a decision to make when adopting this policy: a placeholder to fill in, a starting value to set, or a passage to review and then keep, adapt, or delete. Remove the brackets after each decision.</w:t>
      </w:r>
    </w:p>
    <w:p>
      <w:pPr>
        <w:pStyle w:val="Heading2"/>
      </w:pPr>
      <w:r>
        <w:t xml:space="preserve">3.1 Knowing What Exists</w:t>
      </w:r>
    </w:p>
    <w:p>
      <w:pPr>
        <w:pStyle w:val="ListBullet"/>
      </w:pPr>
      <w:r>
        <w:t xml:space="preserve">Vulnerability management starts from the asset inventory the Information Security Policy requires. Keeping a system off the inventory violates this policy and does not take the system outside it. Whoever sets up a new system adds it to the inventory before it goes live, and the system is scanned at go-live, ahead of the next scheduled cycle. A system found outside the inventory is added to it and brought into scanning immediately.</w:t>
      </w:r>
    </w:p>
    <w:p>
      <w:pPr>
        <w:pStyle w:val="ListBullet"/>
      </w:pPr>
      <w:r>
        <w:t xml:space="preserve">Scan coverage is checked against the inventory at least </w:t>
      </w:r>
      <w:r>
        <w:rPr>
          <w:highlight w:val="yellow"/>
        </w:rPr>
        <w:t xml:space="preserve">[quarterly]</w:t>
      </w:r>
      <w:r>
        <w:t xml:space="preserve">. Anything in the inventory but not scanned, or scanned but not in the inventory, is a finding to fix promptly, at latest before the next coverage check.</w:t>
      </w:r>
    </w:p>
    <w:p>
      <w:pPr>
        <w:pStyle w:val="Heading2"/>
      </w:pPr>
      <w:r>
        <w:t xml:space="preserve">3.2 Finding Vulnerabilities</w:t>
      </w:r>
    </w:p>
    <w:p>
      <w:pPr>
        <w:pStyle w:val="ListBullet"/>
      </w:pPr>
      <w:r>
        <w:t xml:space="preserve">Internet-facing systems (anything reachable from the internet) are scanned automatically at least </w:t>
      </w:r>
      <w:r>
        <w:rPr>
          <w:highlight w:val="yellow"/>
        </w:rPr>
        <w:t xml:space="preserve">[monthly]</w:t>
      </w:r>
      <w:r>
        <w:t xml:space="preserve">; internal systems at least </w:t>
      </w:r>
      <w:r>
        <w:rPr>
          <w:highlight w:val="yellow"/>
        </w:rPr>
        <w:t xml:space="preserve">[quarterly]</w:t>
      </w:r>
      <w:r>
        <w:t xml:space="preserve">. Scans run unauthenticated (seeing what a stranger would); wherever the platform can accept scanner credentials, they also run authenticated (the scanner signs in and sees what an insider would). The two views find different problems. A platform that cannot accept authenticated scans is recorded as a limit in the coverage check (Section 3.1).</w:t>
      </w:r>
    </w:p>
    <w:p>
      <w:pPr>
        <w:pStyle w:val="ListBullet"/>
      </w:pPr>
      <w:r>
        <w:t xml:space="preserve">Scans are scheduled to limit business disruption. Pausing scans or excluding a system requires the Information Security Lead's written, time-limited approval, kept with the program's records (Section 3.5). A pause or exclusion that outlives the next coverage check requires an exception under Section 6.0. An excluded system appears in the coverage check with its approval and expiry, and gets checked another way while scanning is off (a compensating assessment: a manual review of the system's installed versions and configuration against current advisories, or an agent-based check).</w:t>
      </w:r>
    </w:p>
    <w:p>
      <w:pPr>
        <w:pStyle w:val="ListBullet"/>
      </w:pPr>
      <w:r>
        <w:t xml:space="preserve">Scanning accounts are dedicated to scanning and carry the least privilege the tool supports, with their credentials stored and rotated under the Access Control Policy. Access to the scanning platform and its results (a ranked map of every weakness the organization has) is restricted the same way: least privilege, under the Access Control Policy.</w:t>
      </w:r>
    </w:p>
    <w:p>
      <w:pPr>
        <w:pStyle w:val="ListBullet"/>
      </w:pPr>
      <w:r>
        <w:t xml:space="preserve">The organization subscribes to the security advisories (vendors' warnings about vulnerabilities in their products) of the vendors behind its operating systems, its internet-facing products, and its core business platforms; the scanner's vulnerability feed covers the rest at each scan. Security operations watches, at least </w:t>
      </w:r>
      <w:r>
        <w:rPr>
          <w:highlight w:val="yellow"/>
        </w:rPr>
        <w:t xml:space="preserve">[daily on business days]</w:t>
      </w:r>
      <w:r>
        <w:t xml:space="preserve">, lists of vulnerabilities known to be actively exploited (used in real attacks), such as the CISA Known Exploited Vulnerabilities (KEV) catalog; automated alerts from those lists satisfy the watch. An advisory or catalog entry that matches something in the inventory is treated like a scan finding and prioritized under Section 3.3; between scans, this watching is what shortens the time a known vulnerability sits undiscovered.</w:t>
      </w:r>
    </w:p>
    <w:p>
      <w:pPr>
        <w:pStyle w:val="ListBullet"/>
      </w:pPr>
      <w:r>
        <w:t xml:space="preserve">Configuration weaknesses in cloud services (an exposed storage bucket, an open management port) are found by reviewing each service against its provider's security baseline </w:t>
      </w:r>
      <w:r>
        <w:rPr>
          <w:highlight w:val="yellow"/>
        </w:rPr>
        <w:t xml:space="preserve">[quarterly]</w:t>
      </w:r>
      <w:r>
        <w:t xml:space="preserve">; findings are prioritized under Section 3.3.</w:t>
      </w:r>
    </w:p>
    <w:p>
      <w:pPr>
        <w:pStyle w:val="ListBullet"/>
      </w:pPr>
      <w:r>
        <w:rPr>
          <w:highlight w:val="yellow"/>
        </w:rPr>
        <w:t xml:space="preserve">[Where the organization develops software: its third-party components and dependencies are scanned for known vulnerabilities on each build or at least monthly. Its internet-facing web applications receive application-layer scanning (DAST: scans that test the running application itself) at least quarterly. Findings are prioritized under Section 3.3.]</w:t>
      </w:r>
    </w:p>
    <w:p>
      <w:pPr>
        <w:pStyle w:val="ListBullet"/>
      </w:pPr>
      <w:r>
        <w:t xml:space="preserve">At least </w:t>
      </w:r>
      <w:r>
        <w:rPr>
          <w:highlight w:val="yellow"/>
        </w:rPr>
        <w:t xml:space="preserve">[annually]</w:t>
      </w:r>
      <w:r>
        <w:t xml:space="preserve">, a qualified independent party performs a penetration test (a person actively attempting to break in, which probes defenses more deeply than an automated scan) of </w:t>
      </w:r>
      <w:r>
        <w:rPr>
          <w:highlight w:val="yellow"/>
        </w:rPr>
        <w:t xml:space="preserve">[the organization's internet-facing systems]</w:t>
      </w:r>
      <w:r>
        <w:t xml:space="preserve">. Findings are prioritized under Section 3.3 and fixed within the Appendix 1 timeframes.</w:t>
      </w:r>
    </w:p>
    <w:p>
      <w:pPr>
        <w:pStyle w:val="ListBullet"/>
      </w:pPr>
      <w:r>
        <w:t xml:space="preserve">Anyone outside the organization (a researcher, a customer, a stranger) who reports a vulnerability in good faith is welcomed and thanked: the organization does not pursue anyone for the act of reporting. This is not permission to test: nothing in this policy authorizes probing, scanning, or accessing the organization's systems or data, and it is not a bug bounty (a program that invites testing and pays for findings). A report that comes with data taken, service disrupted, or a demand for payment to disclose is not good faith.</w:t>
      </w:r>
    </w:p>
    <w:p>
      <w:pPr>
        <w:pStyle w:val="ListBullet"/>
      </w:pPr>
      <w:r>
        <w:t xml:space="preserve">The organization publishes a way to reach it for security reports </w:t>
      </w:r>
      <w:r>
        <w:rPr>
          <w:highlight w:val="yellow"/>
        </w:rPr>
        <w:t xml:space="preserve">[, such as a security.txt file on its website]</w:t>
      </w:r>
      <w:r>
        <w:t xml:space="preserve">. A report that reaches anyone in the organization is passed to the Information Security Lead without delay. It is acknowledged within </w:t>
      </w:r>
      <w:r>
        <w:rPr>
          <w:highlight w:val="yellow"/>
        </w:rPr>
        <w:t xml:space="preserve">[5 business days]</w:t>
      </w:r>
      <w:r>
        <w:t xml:space="preserve"> of receipt and prioritized like any other finding.</w:t>
      </w:r>
    </w:p>
    <w:p>
      <w:pPr>
        <w:pStyle w:val="Heading2"/>
      </w:pPr>
      <w:r>
        <w:t xml:space="preserve">3.3 Prioritizing</w:t>
      </w:r>
    </w:p>
    <w:p>
      <w:pPr>
        <w:pStyle w:val="ListBullet"/>
      </w:pPr>
      <w:r>
        <w:t xml:space="preserve">Priority comes from three things. The first is how bad the weakness is: its severity rating, the score the scanning tool or the vendor assigns (commonly a CVSS score), translated to Critical, High, Medium, or Low. The second is whether it is being actively exploited (used in real attacks) right now. The third is how sensitive the data on the affected system is, under the Data Handling Policy's classifications. Whether the system is internet-facing picks the column in Appendix 1.</w:t>
      </w:r>
    </w:p>
    <w:p>
      <w:pPr>
        <w:pStyle w:val="ListBullet"/>
      </w:pPr>
      <w:r>
        <w:t xml:space="preserve">A vulnerability known to be actively exploited takes the top row of Appendix 1, whatever its severity rating says. When in doubt between two priorities (a sensitive system is a good reason for doubt), choose the higher.</w:t>
      </w:r>
    </w:p>
    <w:p>
      <w:pPr>
        <w:pStyle w:val="Heading2"/>
      </w:pPr>
      <w:r>
        <w:t xml:space="preserve">3.4 Fixing</w:t>
      </w:r>
    </w:p>
    <w:p>
      <w:pPr>
        <w:pStyle w:val="ListBullet"/>
      </w:pPr>
      <w:r>
        <w:t xml:space="preserve">Appendix 1 sets how long each priority may wait for a fix (the remediation timeframes), with one column for internet-facing systems and one for internal systems. The clock starts when the organization learns of the vulnerability: when the scan reports it, when a subscribed advisory source or watched catalog publishes the matching entry, or when the report arrives, regardless of when anyone reads it. Meeting the timeframe means the fix is applied and verified (Section 3.5); a fix that is only scheduled does not count.</w:t>
      </w:r>
    </w:p>
    <w:p>
      <w:pPr>
        <w:pStyle w:val="ListBullet"/>
      </w:pPr>
      <w:r>
        <w:t xml:space="preserve">The organization has a duty to look for vulnerabilities actively: Section 3.2 sets how often the organization looks. When a scan was skipped or a subscription lapsed, the timeframe still runs from when the organization actually learns. The skipped scan or lapsed subscription is its own violation.</w:t>
      </w:r>
    </w:p>
    <w:p>
      <w:pPr>
        <w:pStyle w:val="ListBullet"/>
      </w:pPr>
      <w:r>
        <w:t xml:space="preserve">Routine patching runs automatically: operating system and application updates are applied through automated patch management on at least a </w:t>
      </w:r>
      <w:r>
        <w:rPr>
          <w:highlight w:val="yellow"/>
        </w:rPr>
        <w:t xml:space="preserve">[monthly]</w:t>
      </w:r>
      <w:r>
        <w:t xml:space="preserve"> cycle. Keep that cycle short enough that routine patching lands most findings well within the Appendix 1 timeframes, which stay as maximum deadlines. A finding whose timeframe is shorter than or equal to the cycle is fixed outside the routine cycle (out of band); security operations flags these when prioritizing. A system that cannot be patched automatically has a documented manual procedure on the same cycle.</w:t>
      </w:r>
    </w:p>
    <w:p>
      <w:pPr>
        <w:pStyle w:val="ListBullet"/>
      </w:pPr>
      <w:r>
        <w:t xml:space="preserve">Where a test or pilot group exists, patches land there first. Before a major or risky patch on an important system, a snapshot or verified backup is taken. A patch that breaks production is rolled back under the change process; the vulnerability is then handled under the compensating-measure rule later in this section, its clock still running.</w:t>
      </w:r>
    </w:p>
    <w:p>
      <w:pPr>
        <w:pStyle w:val="ListBullet"/>
      </w:pPr>
      <w:r>
        <w:t xml:space="preserve">Workloads that are rebuilt rather than patched (containers, machine images, serverless runtimes) are fixed by rebuilding and redeploying on the same timeframes.</w:t>
      </w:r>
    </w:p>
    <w:p>
      <w:pPr>
        <w:pStyle w:val="ListBullet"/>
      </w:pPr>
      <w:r>
        <w:t xml:space="preserve">Patching follows the change management process the Information Security Policy requires; routine automated patching may run as a pre-approved standard change (approved once, not per patch). An out-of-band fix uses the same standard route where the pre-approved procedure covers it, and the normal route otherwise; the emergency route is only for fixes that cannot wait for approval. Where the process has an emergency route, an urgent fix for a Critical or actively exploited vulnerability may use it: the fix is applied under that route's quick approval, and the change record is completed within </w:t>
      </w:r>
      <w:r>
        <w:rPr>
          <w:highlight w:val="yellow"/>
        </w:rPr>
        <w:t xml:space="preserve">[2 business days]</w:t>
      </w:r>
      <w:r>
        <w:t xml:space="preserve">.</w:t>
      </w:r>
    </w:p>
    <w:p>
      <w:pPr>
        <w:pStyle w:val="ListBullet"/>
      </w:pPr>
      <w:r>
        <w:t xml:space="preserve">Where a fix cannot be applied within its timeframe (the vendor has no patch, or patching breaks something the business needs), a compensating measure is put in place within the same timeframe: isolate the system, restrict access to it, disable the vulnerable feature, or block the attack in front of it (for example, with a firewall rule). The vulnerability stays open, revisited at every </w:t>
      </w:r>
      <w:r>
        <w:rPr>
          <w:highlight w:val="yellow"/>
        </w:rPr>
        <w:t xml:space="preserve">[monthly]</w:t>
      </w:r>
      <w:r>
        <w:t xml:space="preserve"> review (Section 3.5), until it is actually fixed.</w:t>
      </w:r>
    </w:p>
    <w:p>
      <w:pPr>
        <w:pStyle w:val="ListBullet"/>
      </w:pPr>
      <w:r>
        <w:t xml:space="preserve">A compensated finding that is Critical or known to be actively exploited (the top two rows of Appendix 1) needs an exception under Section 6.0 at the first </w:t>
      </w:r>
      <w:r>
        <w:rPr>
          <w:highlight w:val="yellow"/>
        </w:rPr>
        <w:t xml:space="preserve">[monthly]</w:t>
      </w:r>
      <w:r>
        <w:t xml:space="preserve"> review. Any other finding still open </w:t>
      </w:r>
      <w:r>
        <w:rPr>
          <w:highlight w:val="yellow"/>
        </w:rPr>
        <w:t xml:space="preserve">[90 days]</w:t>
      </w:r>
      <w:r>
        <w:t xml:space="preserve"> past its original timeframe needs one too, so the gap gets a named requester and an expiry date.</w:t>
      </w:r>
    </w:p>
    <w:p>
      <w:pPr>
        <w:pStyle w:val="ListBullet"/>
      </w:pPr>
      <w:r>
        <w:t xml:space="preserve">A vulnerability the organization decides not to fix is a risk: it goes to the Information Security Policy's risk process, and where the risk is significant, only Executive Management can accept it.</w:t>
      </w:r>
    </w:p>
    <w:p>
      <w:pPr>
        <w:pStyle w:val="Heading2"/>
      </w:pPr>
      <w:r>
        <w:t xml:space="preserve">3.5 Verifying and Reporting</w:t>
      </w:r>
    </w:p>
    <w:p>
      <w:pPr>
        <w:pStyle w:val="ListBullet"/>
      </w:pPr>
      <w:r>
        <w:t xml:space="preserve">A vulnerability is closed only when evidence confirms the fix worked: a rescan, or an equivalent technical check that directly shows the weakness is gone (such as verifying the patched version is what is actually running). A record that a patch was pushed is not evidence.</w:t>
      </w:r>
    </w:p>
    <w:p>
      <w:pPr>
        <w:pStyle w:val="ListBullet"/>
      </w:pPr>
      <w:r>
        <w:t xml:space="preserve">A finding may be closed as a false positive (the scanner was wrong) only with recorded evidence approved by security operations or the Information Security Lead. Findings closed this way (suppressed findings) are re-reviewed at least </w:t>
      </w:r>
      <w:r>
        <w:rPr>
          <w:highlight w:val="yellow"/>
        </w:rPr>
        <w:t xml:space="preserve">[annually]</w:t>
      </w:r>
      <w:r>
        <w:t xml:space="preserve">.</w:t>
      </w:r>
    </w:p>
    <w:p>
      <w:pPr>
        <w:pStyle w:val="ListBullet"/>
      </w:pPr>
      <w:r>
        <w:t xml:space="preserve">Findings, fixes, compensating measures, and exceptions are recorded. Open findings and the remediation approach are reviewed at least </w:t>
      </w:r>
      <w:r>
        <w:rPr>
          <w:highlight w:val="yellow"/>
        </w:rPr>
        <w:t xml:space="preserve">[monthly]</w:t>
      </w:r>
      <w:r>
        <w:t xml:space="preserve"> by security operations with the Information Security Lead. The Lead reports on open vulnerabilities and missed timeframes as part of the program reporting the Information Security Policy requires.</w:t>
      </w:r>
    </w:p>
    <w:p>
      <w:pPr>
        <w:pStyle w:val="Heading2"/>
      </w:pPr>
      <w:r>
        <w:t xml:space="preserve">3.6 When Patching Is Not Possible</w:t>
      </w:r>
    </w:p>
    <w:p>
      <w:pPr>
        <w:pStyle w:val="ListBullet"/>
      </w:pPr>
      <w:r>
        <w:t xml:space="preserve">Software and systems past their end of support (they no longer receive security updates) are replaced on a documented plan. Until replaced, they are isolated: reachable only by what needs them, and not from the internet.</w:t>
      </w:r>
    </w:p>
    <w:p>
      <w:pPr>
        <w:pStyle w:val="ListBullet"/>
      </w:pPr>
      <w:r>
        <w:t xml:space="preserve">Internet exposure of an unsupported system happens only under a Section 6.0 exception approved by Executive Management, with the replacement date attached and compensating measures in front of it: strict access allowlisting, a protective filter that blocks attack traffic (shielding), and monitoring.</w:t>
      </w:r>
    </w:p>
    <w:p>
      <w:pPr>
        <w:pStyle w:val="ListBullet"/>
      </w:pPr>
      <w:r>
        <w:t xml:space="preserve">New findings on a system already covered by a current exception or accepted risk are handled under it and revisited at the </w:t>
      </w:r>
      <w:r>
        <w:rPr>
          <w:highlight w:val="yellow"/>
        </w:rPr>
        <w:t xml:space="preserve">[monthly]</w:t>
      </w:r>
      <w:r>
        <w:t xml:space="preserve"> review (Section 3.5). A finding that materially worsens the risk (one known to be actively exploited always does) triggers an immediate re-review of that exception or accepted risk, ahead of the next scheduled review.</w:t>
      </w:r>
    </w:p>
    <w:p>
      <w:pPr>
        <w:pStyle w:val="ListBullet"/>
      </w:pPr>
      <w:r>
        <w:t xml:space="preserve">Unsupported software may keep running only with paperwork: an exception (Section 6.0) or an accepted risk, in writing either way. Running it quietly, with neither, is a violation (Section 8.0).</w:t>
      </w:r>
    </w:p>
    <w:p>
      <w:pPr>
        <w:pStyle w:val="Heading1"/>
      </w:pPr>
      <w:r>
        <w:t xml:space="preserve">4.0 Roles and Responsibilities</w:t>
      </w:r>
    </w:p>
    <w:p>
      <w:pPr>
        <w:pStyle w:val="ListBullet"/>
      </w:pPr>
      <w:r>
        <w:t xml:space="preserve">The Information Security Lead owns this policy and sets the technical standards that implement it: the scanning tools and their configuration, the advisory sources, and the false-positive rules. The Lead proposes the schedules and timeframes in this policy and Appendix 1 (changes to them follow Section 5.0), oversees vulnerability management as the Information Security Policy provides, receives reports from outside the organization (Section 3.2), commissions the independent penetration test (Section 3.2), approves scan pauses and exclusions, and reports on the program's state.</w:t>
      </w:r>
    </w:p>
    <w:p>
      <w:pPr>
        <w:pStyle w:val="ListBullet"/>
      </w:pPr>
      <w:r>
        <w:t xml:space="preserve">Security operations, with IT, runs the scans, checks scan coverage against the inventory (Section 3.1), watches the advisories and the actively exploited lists (Section 3.2), prioritizes findings (Section 3.3), applies and verifies fixes, holds the </w:t>
      </w:r>
      <w:r>
        <w:rPr>
          <w:highlight w:val="yellow"/>
        </w:rPr>
        <w:t xml:space="preserve">[monthly]</w:t>
      </w:r>
      <w:r>
        <w:t xml:space="preserve"> review of open findings with the Information Security Lead (Section 3.5), and maintains the compensating measures in Section 3.4. The function may sit with an internal team or a qualified service provider; a small organization may assign it to the Information Security Lead. Where a service provider performs these duties, its contract reflects the scan schedules and the Appendix 1 timeframes. The organization reviews the provider's scan and remediation evidence </w:t>
      </w:r>
      <w:r>
        <w:rPr>
          <w:highlight w:val="yellow"/>
        </w:rPr>
        <w:t xml:space="preserve">[monthly]</w:t>
      </w:r>
      <w:r>
        <w:t xml:space="preserve">, with assurance under the Vendor Risk Management Policy.</w:t>
      </w:r>
    </w:p>
    <w:p>
      <w:pPr>
        <w:pStyle w:val="ListBullet"/>
      </w:pPr>
      <w:r>
        <w:t xml:space="preserve">System owners (the owners the Information Security Policy's asset inventory assigns) schedule the agreed downtime for patching (maintenance windows) within the timeframes, confirm their system works after patching, and account for every open finding on their systems at the </w:t>
      </w:r>
      <w:r>
        <w:rPr>
          <w:highlight w:val="yellow"/>
        </w:rPr>
        <w:t xml:space="preserve">[monthly]</w:t>
      </w:r>
      <w:r>
        <w:t xml:space="preserve"> review. An overdue finding has either a compensating measure in place (Section 3.4) and a fix date, or an exception (Section 6.0).</w:t>
      </w:r>
    </w:p>
    <w:p>
      <w:pPr>
        <w:pStyle w:val="ListBullet"/>
      </w:pPr>
      <w:r>
        <w:t xml:space="preserve">Everyone reports suspected vulnerabilities and weaknesses promptly (Section 7.0).</w:t>
      </w:r>
    </w:p>
    <w:p>
      <w:pPr>
        <w:pStyle w:val="Heading1"/>
      </w:pPr>
      <w:r>
        <w:t xml:space="preserve">5.0 Policy Review and Updates</w:t>
      </w:r>
    </w:p>
    <w:p>
      <w:r>
        <w:t xml:space="preserve">This policy shall be reviewed at least annually, and sooner when the business, technology, regulations, or the threat environment change significantly. The Information Security Lead starts the review, and Executive Management approves changes before they take effect, following the review process in the Information Security Policy.</w:t>
      </w:r>
    </w:p>
    <w:p>
      <w:pPr>
        <w:pStyle w:val="Heading1"/>
      </w:pPr>
      <w:r>
        <w:t xml:space="preserve">6.0 Exceptions</w:t>
      </w:r>
    </w:p>
    <w:p>
      <w:r>
        <w:t xml:space="preserve">Any planned deviation from this policy requires a documented exception, requested and approved through the exception process in the Information Security Policy. Submit the request in writing to the Information Security Lead. Describe the business reason, what the exception covers, how long it is needed, and any temporary safeguards that reduce the risk. Exceptions expire and are reviewed under that process.</w:t>
      </w:r>
    </w:p>
    <w:p>
      <w:r>
        <w:t xml:space="preserve">An exception documents a temporary gap that stays subject to expiry and review. A gap that is discovered rather than planned is reported and handled first (see Section 7.0); if it must stay open afterward, an exception is requested promptly. A deviation someone chose to make without approval, or a discovered gap kept outside this process, is a violation (see Section 8.0).</w:t>
      </w:r>
    </w:p>
    <w:p>
      <w:pPr>
        <w:pStyle w:val="Heading1"/>
      </w:pPr>
      <w:r>
        <w:t xml:space="preserve">7.0 Reporting Security Incidents and Concerns</w:t>
      </w:r>
    </w:p>
    <w:p>
      <w:r>
        <w:t>Report suspected vulnerabilities and security weaknesses, any sign that one is being exploited (that is a security incident), unapproved or unsupported software in business use, and other security concerns promptly. Use the incident reporting contacts kept in the Information Security Policy (its Appendix 1). A report to any manager counts; the manager passes it to those contacts. Failing to report a security incident you know about or reasonably suspect is itself a policy violation (see Section 8.0).</w:t>
      </w:r>
    </w:p>
    <w:p>
      <w:r>
        <w:rPr>
          <w:highlight w:val="yellow"/>
        </w:rPr>
        <w:t xml:space="preserve">[No one is punished for the act of making a good-faith report; the report itself is never the offense. An honest mistake reported promptly is treated more leniently than one concealed, and a late report is treated more leniently than none. Any discipline for the underlying conduct follows Section 8.0.]</w:t>
      </w:r>
    </w:p>
    <w:p>
      <w:pPr>
        <w:pStyle w:val="Heading1"/>
      </w:pPr>
      <w:r>
        <w:t xml:space="preserve">8.0 Violations and Disciplinary Action</w:t>
      </w:r>
    </w:p>
    <w:p>
      <w:r>
        <w:t xml:space="preserve">Anyone who violates this policy can face disciplinary action, up to and including termination of employment or contract, and legal action where applicable. The response to a violation will depend on its severity, its impact on the organization's security, and any legal or regulatory requirements.</w:t>
      </w:r>
    </w:p>
    <w:p>
      <w:pPr>
        <w:pStyle w:val="Heading1"/>
      </w:pPr>
      <w:r>
        <w:t xml:space="preserve">9.0 Related Policies and Standards</w:t>
      </w:r>
    </w:p>
    <w:p>
      <w:r>
        <w:t xml:space="preserve">This policy is a supporting policy of the Information Security Policy, the top-level document of the organization's information security policy set. This policy may set stricter rules; a stricter rule is not a conflict. If this policy contradicts the Information Security Policy, the Information Security Policy prevails.</w:t>
      </w:r>
    </w:p>
    <w:p>
      <w:r>
        <w:t xml:space="preserve">This policy runs on two pieces of the Information Security Policy: its asset inventory (used here in Section 3.1) and its risk process (used in Sections 3.4 and 3.6).</w:t>
      </w:r>
    </w:p>
    <w:p>
      <w:r>
        <w:t xml:space="preserve">It works alongside these policies:</w:t>
      </w:r>
    </w:p>
    <w:p>
      <w:pPr>
        <w:pStyle w:val="ListBullet"/>
      </w:pPr>
      <w:r>
        <w:t xml:space="preserve">The Remote Work &amp; Mobile Device Policy: updates on user devices.</w:t>
      </w:r>
    </w:p>
    <w:p>
      <w:pPr>
        <w:pStyle w:val="ListBullet"/>
      </w:pPr>
      <w:r>
        <w:t xml:space="preserve">The Vendor Risk Management Policy: software a provider patches, and the assurance the organization asks of the provider.</w:t>
      </w:r>
    </w:p>
    <w:p>
      <w:pPr>
        <w:pStyle w:val="ListBullet"/>
      </w:pPr>
      <w:r>
        <w:t xml:space="preserve">The Incident Response Policy: the exploitation of a vulnerability is an incident.</w:t>
      </w:r>
    </w:p>
    <w:p>
      <w:pPr>
        <w:pStyle w:val="ListBullet"/>
      </w:pPr>
      <w:r>
        <w:t xml:space="preserve">The Access Control Policy: the access restrictions this policy uses as compensating measures, and the credential rules its scanning accounts follow.</w:t>
      </w:r>
    </w:p>
    <w:p>
      <w:pPr>
        <w:pStyle w:val="ListBullet"/>
      </w:pPr>
      <w:r>
        <w:t xml:space="preserve">The Secure Development Policy: a vulnerability in software the organization builds is handled here on this policy's timeframes; that policy develops the fix.</w:t>
      </w:r>
    </w:p>
    <w:p>
      <w:pPr>
        <w:pStyle w:val="ListBullet"/>
      </w:pPr>
      <w:r>
        <w:t xml:space="preserve">The Encryption Policy: it defines the approved and retired encryption methods a weak one is measured against.</w:t>
      </w:r>
    </w:p>
    <w:p>
      <w:pPr>
        <w:pStyle w:val="ListBullet"/>
      </w:pPr>
      <w:r>
        <w:t xml:space="preserve">The Data Handling Policy: the data sensitivity classifications Section 3.3 prioritizes by.</w:t>
      </w:r>
    </w:p>
    <w:p>
      <w:pPr>
        <w:pStyle w:val="ListBullet"/>
      </w:pPr>
      <w:r>
        <w:t xml:space="preserve">The Change Management Policy: patching runs through its standard, normal, and emergency change routes, and its change freezes address this policy's timeframes.</w:t>
      </w:r>
    </w:p>
    <w:p>
      <w:r>
        <w:t xml:space="preserve">Where any of these does not exist yet, treat it as a roadmap item; the rules in this policy apply on their own regardless.</w:t>
      </w:r>
    </w:p>
    <w:p>
      <w:r>
        <w:t xml:space="preserve">At a policy level, these rules put into practice control 8.8 of ISO/IEC 27001:2022 Annex A (management of technical vulnerabilities): information about vulnerabilities is obtained (Section 3.2), the organization's exposure is evaluated (Section 3.3), and appropriate measures are taken (Sections 3.4 to 3.6). They support the Identify and Protect functions of the NIST Cybersecurity Framework 2.0, in particular its Risk Assessment (ID.RA) and Platform Security (PR.PS) categories, and they put into practice Control 7 (Continuous Vulnerability Management) of the CIS Critical Security Controls Version 8.1 through Sections 3.1 to 3.5.</w:t>
      </w:r>
    </w:p>
    <w:p>
      <w:pPr>
        <w:pStyle w:val="Heading1"/>
      </w:pPr>
      <w:r>
        <w:t xml:space="preserve">Appendix 1: Remediation Timeframes</w:t>
      </w:r>
    </w:p>
    <w:p>
      <w:r>
        <w:t xml:space="preserve">This table is the quick reference; the rules in Sections 3.3 to 3.5 govern. The clock starts when the organization learns of the vulnerability, as Section 3.4 sets out, and each timeframe covers the fix and its verification (Sections 3.4 and 3.5).</w:t>
      </w:r>
    </w:p>
    <w:p>
      <w:r>
        <w:t xml:space="preserve">These are ceilings: routine automated patching (Section 3.4) handles most findings sooner. A fix applied and verified within its timeframe meets this policy, however it got there.</w:t>
      </w:r>
    </w:p>
    <w:p>
      <w:r>
        <w:t xml:space="preserve">Where a law, a regulation, or a contract the organization has signed sets a shorter timeframe or a stricter scan schedule, the stricter rule applies. A vulnerability known to be actively exploited takes the first row, whatever its severity rating (Section 3.3). Set the values to fit the organization and tighten them where the business allows. Do not loosen the actively exploited and Critical rows.</w:t>
      </w:r>
    </w:p>
    <w:tbl>
      <w:tblPr>
        <w:tblStyle w:val="TableGrid"/>
        <w:tblW w:type="auto" w:w="0"/>
        <w:tblLook w:firstColumn="1" w:firstRow="1" w:lastColumn="0" w:lastRow="0" w:noHBand="0" w:noVBand="1" w:val="04A0"/>
      </w:tblPr>
      <w:tblGrid>
        <w:gridCol w:w="4320"/>
        <w:gridCol w:w="3240"/>
        <w:gridCol w:w="3240"/>
      </w:tblGrid>
      <w:tr>
        <w:tc>
          <w:tcPr>
            <w:tcW w:type="dxa" w:w="4320"/>
          </w:tcPr>
          <w:p>
            <w:r>
              <w:rPr>
                <w:b/>
              </w:rPr>
              <w:t xml:space="preserve">Priority</w:t>
            </w:r>
          </w:p>
        </w:tc>
        <w:tc>
          <w:tcPr>
            <w:tcW w:type="dxa" w:w="3240"/>
          </w:tcPr>
          <w:p>
            <w:r>
              <w:rPr>
                <w:b/>
              </w:rPr>
              <w:t xml:space="preserve">Internet-facing systems</w:t>
            </w:r>
          </w:p>
        </w:tc>
        <w:tc>
          <w:tcPr>
            <w:tcW w:type="dxa" w:w="3240"/>
          </w:tcPr>
          <w:p>
            <w:r>
              <w:rPr>
                <w:b/>
              </w:rPr>
              <w:t xml:space="preserve">Internal systems</w:t>
            </w:r>
          </w:p>
        </w:tc>
      </w:tr>
      <w:tr>
        <w:tc>
          <w:tcPr>
            <w:tcW w:type="dxa" w:w="4320"/>
          </w:tcPr>
          <w:p>
            <w:r>
              <w:t xml:space="preserve">Known to be actively exploited</w:t>
            </w:r>
          </w:p>
        </w:tc>
        <w:tc>
          <w:tcPr>
            <w:tcW w:type="dxa" w:w="3240"/>
          </w:tcPr>
          <w:p>
            <w:r>
              <w:rPr>
                <w:highlight w:val="yellow"/>
              </w:rPr>
              <w:t xml:space="preserve">[48 hours]</w:t>
            </w:r>
          </w:p>
        </w:tc>
        <w:tc>
          <w:tcPr>
            <w:tcW w:type="dxa" w:w="3240"/>
          </w:tcPr>
          <w:p>
            <w:r>
              <w:rPr>
                <w:highlight w:val="yellow"/>
              </w:rPr>
              <w:t xml:space="preserve">[7 days]</w:t>
            </w:r>
          </w:p>
        </w:tc>
      </w:tr>
      <w:tr>
        <w:tc>
          <w:tcPr>
            <w:tcW w:type="dxa" w:w="4320"/>
          </w:tcPr>
          <w:p>
            <w:r>
              <w:t xml:space="preserve">Critical</w:t>
            </w:r>
          </w:p>
        </w:tc>
        <w:tc>
          <w:tcPr>
            <w:tcW w:type="dxa" w:w="3240"/>
          </w:tcPr>
          <w:p>
            <w:r>
              <w:rPr>
                <w:highlight w:val="yellow"/>
              </w:rPr>
              <w:t xml:space="preserve">[7 days]</w:t>
            </w:r>
          </w:p>
        </w:tc>
        <w:tc>
          <w:tcPr>
            <w:tcW w:type="dxa" w:w="3240"/>
          </w:tcPr>
          <w:p>
            <w:r>
              <w:rPr>
                <w:highlight w:val="yellow"/>
              </w:rPr>
              <w:t xml:space="preserve">[14 days]</w:t>
            </w:r>
          </w:p>
        </w:tc>
      </w:tr>
      <w:tr>
        <w:tc>
          <w:tcPr>
            <w:tcW w:type="dxa" w:w="4320"/>
          </w:tcPr>
          <w:p>
            <w:r>
              <w:t xml:space="preserve">High</w:t>
            </w:r>
          </w:p>
        </w:tc>
        <w:tc>
          <w:tcPr>
            <w:tcW w:type="dxa" w:w="3240"/>
          </w:tcPr>
          <w:p>
            <w:r>
              <w:rPr>
                <w:highlight w:val="yellow"/>
              </w:rPr>
              <w:t xml:space="preserve">[14 days]</w:t>
            </w:r>
          </w:p>
        </w:tc>
        <w:tc>
          <w:tcPr>
            <w:tcW w:type="dxa" w:w="3240"/>
          </w:tcPr>
          <w:p>
            <w:r>
              <w:rPr>
                <w:highlight w:val="yellow"/>
              </w:rPr>
              <w:t xml:space="preserve">[30 days]</w:t>
            </w:r>
          </w:p>
        </w:tc>
      </w:tr>
      <w:tr>
        <w:tc>
          <w:tcPr>
            <w:tcW w:type="dxa" w:w="4320"/>
          </w:tcPr>
          <w:p>
            <w:r>
              <w:t xml:space="preserve">Medium</w:t>
            </w:r>
          </w:p>
        </w:tc>
        <w:tc>
          <w:tcPr>
            <w:tcW w:type="dxa" w:w="3240"/>
          </w:tcPr>
          <w:p>
            <w:r>
              <w:rPr>
                <w:highlight w:val="yellow"/>
              </w:rPr>
              <w:t xml:space="preserve">[30 days]</w:t>
            </w:r>
          </w:p>
        </w:tc>
        <w:tc>
          <w:tcPr>
            <w:tcW w:type="dxa" w:w="3240"/>
          </w:tcPr>
          <w:p>
            <w:r>
              <w:rPr>
                <w:highlight w:val="yellow"/>
              </w:rPr>
              <w:t xml:space="preserve">[90 days]</w:t>
            </w:r>
          </w:p>
        </w:tc>
      </w:tr>
      <w:tr>
        <w:tc>
          <w:tcPr>
            <w:tcW w:type="dxa" w:w="4320"/>
          </w:tcPr>
          <w:p>
            <w:r>
              <w:t xml:space="preserve">Low</w:t>
            </w:r>
          </w:p>
        </w:tc>
        <w:tc>
          <w:tcPr>
            <w:tcW w:type="dxa" w:w="3240"/>
          </w:tcPr>
          <w:p>
            <w:r>
              <w:rPr>
                <w:highlight w:val="yellow"/>
              </w:rPr>
              <w:t xml:space="preserve">[90 days]</w:t>
            </w:r>
          </w:p>
        </w:tc>
        <w:tc>
          <w:tcPr>
            <w:tcW w:type="dxa" w:w="3240"/>
          </w:tcPr>
          <w:p>
            <w:r>
              <w:rPr>
                <w:highlight w:val="yellow"/>
              </w:rPr>
              <w:t xml:space="preserve">[Next patch cycle, no later than 180 days]</w:t>
            </w:r>
          </w:p>
        </w:tc>
      </w:tr>
    </w:tbl>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 xml:space="preserve">Vulnerability Management Policy | Page </w:t>
    </w:r>
    <w:r>
      <w:rPr>
        <w:sz w:val="18"/>
      </w:rPr>
      <w:fldChar w:fldCharType="begin"/>
      <w:instrText xml:space="preserve">PAGE</w:instrText>
      <w:fldChar w:fldCharType="end"/>
    </w:r>
    <w:r>
      <w:rPr>
        <w:sz w:val="18"/>
      </w:rPr>
      <w:t xml:space="preserve"> of </w:t>
    </w:r>
    <w:r>
      <w:rPr>
        <w:sz w:val="18"/>
      </w:rPr>
      <w:fldChar w:fldCharType="begin"/>
      <w:instrText xml:space="preserve">NUMPAGES</w:instrText>
      <w:fldChar w:fldCharType="end"/>
    </w:r>
    <w:r>
      <w:rPr>
        <w:sz w:val="18"/>
      </w:rPr>
      <w:t xml:space="preserve"> | anobytes.com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720"/>
        </w:tabs>
        <w:ind w:left="72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Arial" w:hAnsi="Arial" w:cs="Arial"/>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eastAsiaTheme="majorEastAsia" w:ascii="Arial" w:hAnsi="Arial" w:cs="Arial"/>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eastAsiaTheme="majorEastAsia" w:ascii="Arial" w:hAnsi="Arial" w:cs="Arial"/>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eastAsiaTheme="majorEastAsia" w:ascii="Arial" w:hAnsi="Arial" w:cs="Arial"/>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contextualSpacing/>
    </w:pPr>
    <w:rPr>
      <w:rFonts w:ascii="Arial" w:hAnsi="Arial" w:cs="Arial"/>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3163</Words>
  <Characters>17481</Characters>
  <DocSecurity>0</DocSecurity>
  <Lines>179</Lines>
  <Paragraphs>142</Paragraphs>
  <ScaleCrop>false</ScaleCrop>
  <HeadingPairs>
    <vt:vector size="2" baseType="variant">
      <vt:variant>
        <vt:lpstr>Title</vt:lpstr>
      </vt:variant>
      <vt:variant>
        <vt:i4>1</vt:i4>
      </vt:variant>
    </vt:vector>
  </HeadingPairs>
  <TitlesOfParts>
    <vt:vector size="1" baseType="lpstr">
      <vt:lpstr>Vulnerability Management Policy</vt:lpstr>
    </vt:vector>
  </TitlesOfParts>
  <Manager/>
  <Company>anoBytes Technology Solutions LLC</Company>
  <LinksUpToDate>false</LinksUpToDate>
  <CharactersWithSpaces>20644</CharactersWithSpaces>
  <SharedDoc>false</SharedDoc>
  <HyperlinkBase/>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dc:title>Vulnerability Management Policy</dc:title>
  <dc:subject>Vulnerability management policy template</dc:subject>
  <dc:creator>Nelson Pereira, anoBytes Technology Solutions LLC</dc:creator>
  <cp:keywords>cvss, kev, cisa, penetration test, exposure, actively exploited, internet-facing, severity rating, scan coverage, compensating measures, monthly review, unsupported software, advisories, prioritized, least privilege</cp:keywords>
  <dc:description>The scanning and patching companion to our security policy set: scan schedules, risk-based priorities, remediation timeframes, and automated patching with snapshots and rollback. Free to adapt for your organization.</dc:description>
  <cp:lastModifiedBy/>
  <cp:revision>1</cp:revision>
  <dcterms:created xsi:type="dcterms:W3CDTF">2026-07-17T00:00:00Z</dcterms:created>
  <dcterms:modified xsi:type="dcterms:W3CDTF">2026-08-06T00:00:00Z</dcterms:modified>
  <cp:category>Template</cp:category>
</cp:coreProperties>
</file>